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7BBBF" w14:textId="77777777" w:rsidR="0095217D" w:rsidRDefault="0095217D" w:rsidP="0095217D">
      <w:pPr>
        <w:spacing w:after="0"/>
        <w:rPr>
          <w:rFonts w:ascii="Aptos" w:eastAsiaTheme="majorEastAsia" w:hAnsi="Aptos" w:cstheme="majorBidi"/>
          <w:b/>
          <w:bCs/>
          <w:color w:val="C00000"/>
          <w:sz w:val="24"/>
          <w:szCs w:val="24"/>
        </w:rPr>
      </w:pPr>
      <w:r w:rsidRPr="00AC3757">
        <w:rPr>
          <w:rFonts w:ascii="Aptos" w:eastAsiaTheme="majorEastAsia" w:hAnsi="Aptos" w:cstheme="majorBidi"/>
          <w:b/>
          <w:bCs/>
          <w:color w:val="C00000"/>
          <w:sz w:val="24"/>
          <w:szCs w:val="24"/>
        </w:rPr>
        <w:t>Scaling Anticipatory Action for Displacement</w:t>
      </w:r>
      <w:r>
        <w:rPr>
          <w:rFonts w:ascii="Aptos" w:eastAsiaTheme="majorEastAsia" w:hAnsi="Aptos" w:cstheme="majorBidi"/>
          <w:b/>
          <w:bCs/>
          <w:color w:val="C00000"/>
          <w:sz w:val="24"/>
          <w:szCs w:val="24"/>
        </w:rPr>
        <w:t>, e</w:t>
      </w:r>
      <w:r w:rsidRPr="00AC3757">
        <w:rPr>
          <w:rFonts w:ascii="Aptos" w:eastAsiaTheme="majorEastAsia" w:hAnsi="Aptos" w:cstheme="majorBidi"/>
          <w:b/>
          <w:bCs/>
          <w:color w:val="C00000"/>
          <w:sz w:val="24"/>
          <w:szCs w:val="24"/>
        </w:rPr>
        <w:t>nd-of-</w:t>
      </w:r>
      <w:r>
        <w:rPr>
          <w:rFonts w:ascii="Aptos" w:eastAsiaTheme="majorEastAsia" w:hAnsi="Aptos" w:cstheme="majorBidi"/>
          <w:b/>
          <w:bCs/>
          <w:color w:val="C00000"/>
          <w:sz w:val="24"/>
          <w:szCs w:val="24"/>
        </w:rPr>
        <w:t>y</w:t>
      </w:r>
      <w:r w:rsidRPr="00AC3757">
        <w:rPr>
          <w:rFonts w:ascii="Aptos" w:eastAsiaTheme="majorEastAsia" w:hAnsi="Aptos" w:cstheme="majorBidi"/>
          <w:b/>
          <w:bCs/>
          <w:color w:val="C00000"/>
          <w:sz w:val="24"/>
          <w:szCs w:val="24"/>
        </w:rPr>
        <w:t xml:space="preserve">ear </w:t>
      </w:r>
      <w:r>
        <w:rPr>
          <w:rFonts w:ascii="Aptos" w:eastAsiaTheme="majorEastAsia" w:hAnsi="Aptos" w:cstheme="majorBidi"/>
          <w:b/>
          <w:bCs/>
          <w:color w:val="C00000"/>
          <w:sz w:val="24"/>
          <w:szCs w:val="24"/>
        </w:rPr>
        <w:t>e</w:t>
      </w:r>
      <w:r w:rsidRPr="00AC3757">
        <w:rPr>
          <w:rFonts w:ascii="Aptos" w:eastAsiaTheme="majorEastAsia" w:hAnsi="Aptos" w:cstheme="majorBidi"/>
          <w:b/>
          <w:bCs/>
          <w:color w:val="C00000"/>
          <w:sz w:val="24"/>
          <w:szCs w:val="24"/>
        </w:rPr>
        <w:t>dition 2025</w:t>
      </w:r>
    </w:p>
    <w:p w14:paraId="1D3A5160" w14:textId="77777777" w:rsidR="0095217D" w:rsidRDefault="0095217D" w:rsidP="0095217D">
      <w:pPr>
        <w:spacing w:after="0"/>
        <w:jc w:val="both"/>
        <w:rPr>
          <w:rFonts w:ascii="Aptos" w:hAnsi="Aptos"/>
          <w:i/>
          <w:iCs/>
          <w:sz w:val="20"/>
          <w:szCs w:val="20"/>
        </w:rPr>
      </w:pPr>
      <w:r w:rsidRPr="008022B3">
        <w:rPr>
          <w:rFonts w:ascii="Aptos" w:hAnsi="Aptos"/>
          <w:i/>
          <w:iCs/>
          <w:sz w:val="20"/>
          <w:szCs w:val="20"/>
        </w:rPr>
        <w:t>For this year, the final AA newsletter will be written as an annual “look-back” on our anticipatory action work, testing a new, strengthened format with improved design (pending procurement approval). If this approach works well, we can use it not only for internal communication but also as a broader, outward-facing product to showcase our achievements, data, and strategic direction in AA.</w:t>
      </w:r>
    </w:p>
    <w:p w14:paraId="6150922F" w14:textId="4424D8B4" w:rsidR="0095217D" w:rsidRPr="0095217D" w:rsidRDefault="0095217D" w:rsidP="0095217D">
      <w:pPr>
        <w:spacing w:after="0"/>
        <w:jc w:val="both"/>
        <w:rPr>
          <w:rFonts w:ascii="Aptos" w:hAnsi="Aptos"/>
          <w:i/>
          <w:iCs/>
          <w:sz w:val="20"/>
          <w:szCs w:val="20"/>
        </w:rPr>
      </w:pPr>
      <w:r w:rsidRPr="00444E50">
        <w:rPr>
          <w:rFonts w:ascii="Aptos" w:hAnsi="Aptos"/>
          <w:b/>
          <w:bCs/>
        </w:rPr>
        <w:t>Foreword</w:t>
      </w:r>
    </w:p>
    <w:p w14:paraId="6B050BC2" w14:textId="77777777" w:rsidR="0095217D" w:rsidRDefault="0095217D" w:rsidP="0095217D">
      <w:pPr>
        <w:spacing w:after="0"/>
        <w:jc w:val="both"/>
        <w:rPr>
          <w:rFonts w:ascii="Aptos" w:hAnsi="Aptos"/>
          <w:i/>
          <w:sz w:val="20"/>
          <w:szCs w:val="20"/>
        </w:rPr>
      </w:pPr>
      <w:r w:rsidRPr="001D5CBB">
        <w:rPr>
          <w:rFonts w:ascii="Aptos" w:hAnsi="Aptos"/>
          <w:i/>
          <w:sz w:val="20"/>
          <w:szCs w:val="20"/>
        </w:rPr>
        <w:t>This year’s End-of-Year Report for Anticipatory Action (AA) will form the basis of a new annual “AA Newsletter”</w:t>
      </w:r>
      <w:r>
        <w:rPr>
          <w:rFonts w:ascii="Aptos" w:hAnsi="Aptos"/>
          <w:i/>
          <w:sz w:val="20"/>
          <w:szCs w:val="20"/>
        </w:rPr>
        <w:t xml:space="preserve"> </w:t>
      </w:r>
      <w:r w:rsidRPr="001D5CBB">
        <w:rPr>
          <w:rFonts w:ascii="Aptos" w:hAnsi="Aptos"/>
          <w:i/>
          <w:sz w:val="20"/>
          <w:szCs w:val="20"/>
        </w:rPr>
        <w:t>a designed, outward-facing flagship (pending procurement) that consolidates our achievements, analysis and learning. The strengthened visual identity will also support the integration of key findings from the Integrated Context Assessment (ICA) and position the product for broader use with donors, partners and peer agencies.</w:t>
      </w:r>
    </w:p>
    <w:p w14:paraId="03F0B38D" w14:textId="77777777" w:rsidR="0095217D" w:rsidRPr="001D5CBB" w:rsidRDefault="0095217D" w:rsidP="0095217D">
      <w:pPr>
        <w:spacing w:after="0"/>
        <w:jc w:val="both"/>
        <w:rPr>
          <w:rFonts w:ascii="Aptos" w:hAnsi="Aptos"/>
          <w:i/>
          <w:sz w:val="20"/>
          <w:szCs w:val="20"/>
        </w:rPr>
      </w:pPr>
    </w:p>
    <w:p w14:paraId="3BA106E4" w14:textId="77777777" w:rsidR="0095217D" w:rsidRPr="00C166DA" w:rsidRDefault="0095217D" w:rsidP="0095217D">
      <w:pPr>
        <w:spacing w:after="0"/>
        <w:jc w:val="both"/>
        <w:rPr>
          <w:rFonts w:ascii="Aptos" w:hAnsi="Aptos"/>
          <w:sz w:val="20"/>
          <w:szCs w:val="20"/>
        </w:rPr>
      </w:pPr>
      <w:r w:rsidRPr="00C166DA">
        <w:rPr>
          <w:rFonts w:ascii="Aptos" w:hAnsi="Aptos"/>
          <w:sz w:val="20"/>
          <w:szCs w:val="20"/>
        </w:rPr>
        <w:t xml:space="preserve">DRC’s internal approach to anticipatory action has continued to consolidate this year, with a clear reaffirmation of AA as both a programmatic and policy tool AA is now explicitly aligned with DRC’s newly defined Theory of Change outcome areas, with the expectation that it contributes across both the Emergency and Solutions platforms. </w:t>
      </w:r>
    </w:p>
    <w:p w14:paraId="55256369" w14:textId="77777777" w:rsidR="0095217D" w:rsidRPr="00C166DA" w:rsidRDefault="0095217D" w:rsidP="0095217D">
      <w:pPr>
        <w:spacing w:after="0"/>
        <w:jc w:val="both"/>
        <w:rPr>
          <w:rFonts w:ascii="Aptos" w:hAnsi="Aptos"/>
          <w:sz w:val="20"/>
          <w:szCs w:val="20"/>
        </w:rPr>
      </w:pPr>
    </w:p>
    <w:p w14:paraId="2B922495" w14:textId="77777777" w:rsidR="0095217D" w:rsidRPr="00C166DA" w:rsidRDefault="0095217D" w:rsidP="0095217D">
      <w:pPr>
        <w:spacing w:after="0"/>
        <w:jc w:val="both"/>
        <w:rPr>
          <w:rFonts w:ascii="Aptos" w:hAnsi="Aptos"/>
          <w:sz w:val="20"/>
          <w:szCs w:val="20"/>
        </w:rPr>
      </w:pPr>
      <w:r w:rsidRPr="00C166DA">
        <w:rPr>
          <w:rFonts w:ascii="Aptos" w:hAnsi="Aptos"/>
          <w:sz w:val="20"/>
          <w:szCs w:val="20"/>
        </w:rPr>
        <w:t>These internal developments are aligned to be responsive with the wider shifts in the global humanitarian landscape. The past year was defined by major donor cuts, the Humanitarian Reset and UN80’s emphasis on faster, leaner and more locally led response models, reshaping what “effective humanitarian action” should look like. Importantly, many of these changes are highly complementary to anticipatory approaches and reinforce areas where DRC already has comparative strengths particularly in data-driven analysis, early warning, layered forecasting and community-level engagement.</w:t>
      </w:r>
    </w:p>
    <w:p w14:paraId="297399E7" w14:textId="77777777" w:rsidR="0095217D" w:rsidRPr="006F272E" w:rsidRDefault="0095217D" w:rsidP="0095217D">
      <w:pPr>
        <w:spacing w:after="0"/>
        <w:jc w:val="both"/>
        <w:rPr>
          <w:rFonts w:ascii="Aptos" w:hAnsi="Aptos"/>
          <w:i/>
          <w:sz w:val="20"/>
          <w:szCs w:val="20"/>
        </w:rPr>
      </w:pPr>
    </w:p>
    <w:p w14:paraId="566E557D" w14:textId="77777777" w:rsidR="00C166DA" w:rsidRDefault="0095217D" w:rsidP="0095217D">
      <w:pPr>
        <w:spacing w:after="0"/>
        <w:jc w:val="both"/>
        <w:rPr>
          <w:rFonts w:ascii="Aptos" w:hAnsi="Aptos"/>
          <w:i/>
          <w:sz w:val="20"/>
          <w:szCs w:val="20"/>
        </w:rPr>
      </w:pPr>
      <w:r w:rsidRPr="001D5CBB">
        <w:rPr>
          <w:rFonts w:ascii="Aptos" w:hAnsi="Aptos"/>
          <w:i/>
          <w:sz w:val="20"/>
          <w:szCs w:val="20"/>
        </w:rPr>
        <w:t>In line with the light-touch review of the AA Advocacy Strategy, this blueprint incorporates core elements of the refreshed strategic narrative so that they guide our thinking now, rather than remaining confined to a separate strategy update.</w:t>
      </w:r>
    </w:p>
    <w:p w14:paraId="665675A6" w14:textId="77777777" w:rsidR="00C166DA" w:rsidRDefault="00C166DA" w:rsidP="0095217D">
      <w:pPr>
        <w:spacing w:after="0"/>
        <w:jc w:val="both"/>
        <w:rPr>
          <w:rFonts w:ascii="Aptos" w:hAnsi="Aptos"/>
          <w:i/>
          <w:sz w:val="20"/>
          <w:szCs w:val="20"/>
        </w:rPr>
      </w:pPr>
    </w:p>
    <w:p w14:paraId="2092341C" w14:textId="61D292CC" w:rsidR="0095217D" w:rsidRDefault="0095217D" w:rsidP="0095217D">
      <w:pPr>
        <w:spacing w:after="0"/>
        <w:jc w:val="both"/>
        <w:rPr>
          <w:rFonts w:ascii="Aptos" w:hAnsi="Aptos"/>
          <w:sz w:val="20"/>
          <w:szCs w:val="20"/>
        </w:rPr>
      </w:pPr>
      <w:r w:rsidRPr="001D5CBB">
        <w:rPr>
          <w:rFonts w:ascii="Aptos" w:hAnsi="Aptos"/>
          <w:i/>
          <w:sz w:val="20"/>
          <w:szCs w:val="20"/>
        </w:rPr>
        <w:t xml:space="preserve"> </w:t>
      </w:r>
      <w:r w:rsidRPr="00C166DA">
        <w:rPr>
          <w:rFonts w:ascii="Aptos" w:hAnsi="Aptos"/>
          <w:sz w:val="20"/>
          <w:szCs w:val="20"/>
        </w:rPr>
        <w:t xml:space="preserve">As donor environments tighten and </w:t>
      </w:r>
      <w:proofErr w:type="gramStart"/>
      <w:r w:rsidRPr="00C166DA">
        <w:rPr>
          <w:rFonts w:ascii="Aptos" w:hAnsi="Aptos"/>
          <w:sz w:val="20"/>
          <w:szCs w:val="20"/>
        </w:rPr>
        <w:t>demand for</w:t>
      </w:r>
      <w:proofErr w:type="gramEnd"/>
      <w:r w:rsidRPr="00C166DA">
        <w:rPr>
          <w:rFonts w:ascii="Aptos" w:hAnsi="Aptos"/>
          <w:sz w:val="20"/>
          <w:szCs w:val="20"/>
        </w:rPr>
        <w:t xml:space="preserve"> efficiency, localisation and cross-pillar coherence increases, this is a critical moment for DRC to articulate and advocate for the value of our layered forecasting system and the programmatic results it enables.</w:t>
      </w:r>
    </w:p>
    <w:p w14:paraId="0AFEE81C" w14:textId="77777777" w:rsidR="00C166DA" w:rsidRPr="00C166DA" w:rsidRDefault="00C166DA" w:rsidP="0095217D">
      <w:pPr>
        <w:spacing w:after="0"/>
        <w:jc w:val="both"/>
        <w:rPr>
          <w:rFonts w:ascii="Aptos" w:hAnsi="Aptos"/>
          <w:sz w:val="20"/>
          <w:szCs w:val="20"/>
        </w:rPr>
      </w:pPr>
    </w:p>
    <w:p w14:paraId="23E5D0B1" w14:textId="77777777" w:rsidR="0095217D" w:rsidRPr="00C166DA" w:rsidRDefault="0095217D" w:rsidP="0095217D">
      <w:pPr>
        <w:spacing w:after="0"/>
        <w:jc w:val="both"/>
        <w:rPr>
          <w:rFonts w:ascii="Aptos" w:hAnsi="Aptos"/>
          <w:sz w:val="20"/>
          <w:szCs w:val="20"/>
        </w:rPr>
      </w:pPr>
      <w:r w:rsidRPr="00C166DA">
        <w:rPr>
          <w:rFonts w:ascii="Aptos" w:hAnsi="Aptos"/>
          <w:sz w:val="20"/>
          <w:szCs w:val="20"/>
        </w:rPr>
        <w:t>DRC operates a dual forecasting architecture: the national-level Foresight Displacement Projection Model (1–3 years) and the sub-national forecasting model used in AHEAD (3–4 months). Together, they form our layered data ecosystem for anticipatory action. This report is an opportunity to reaffirm AA as both a policy and programmatic tool demonstrating our ability to connect long-range analysis with short-term, preventive action and to do so in ways that complement protection, resilience, self-reliance and early recovery objectives across both Emergency and Solutions platforms.</w:t>
      </w:r>
    </w:p>
    <w:p w14:paraId="0CF07805" w14:textId="77777777" w:rsidR="0095217D" w:rsidRPr="00C166DA" w:rsidRDefault="0095217D" w:rsidP="0095217D">
      <w:pPr>
        <w:spacing w:after="0"/>
        <w:jc w:val="both"/>
        <w:rPr>
          <w:rFonts w:ascii="Aptos" w:hAnsi="Aptos"/>
          <w:sz w:val="20"/>
          <w:szCs w:val="20"/>
        </w:rPr>
      </w:pPr>
    </w:p>
    <w:p w14:paraId="6DC9FDE8" w14:textId="5BE872C1" w:rsidR="0095217D" w:rsidRPr="00C166DA" w:rsidRDefault="0095217D" w:rsidP="0095217D">
      <w:pPr>
        <w:spacing w:after="0"/>
        <w:jc w:val="both"/>
        <w:rPr>
          <w:rFonts w:ascii="Aptos" w:hAnsi="Aptos"/>
          <w:sz w:val="20"/>
          <w:szCs w:val="20"/>
        </w:rPr>
      </w:pPr>
      <w:r w:rsidRPr="00C166DA">
        <w:rPr>
          <w:rFonts w:ascii="Aptos" w:hAnsi="Aptos"/>
          <w:sz w:val="20"/>
          <w:szCs w:val="20"/>
        </w:rPr>
        <w:t xml:space="preserve">Crucially, </w:t>
      </w:r>
      <w:proofErr w:type="gramStart"/>
      <w:r w:rsidRPr="00C166DA">
        <w:rPr>
          <w:rFonts w:ascii="Aptos" w:hAnsi="Aptos"/>
          <w:sz w:val="20"/>
          <w:szCs w:val="20"/>
        </w:rPr>
        <w:t>the global</w:t>
      </w:r>
      <w:proofErr w:type="gramEnd"/>
      <w:r w:rsidRPr="00C166DA">
        <w:rPr>
          <w:rFonts w:ascii="Aptos" w:hAnsi="Aptos"/>
          <w:sz w:val="20"/>
          <w:szCs w:val="20"/>
        </w:rPr>
        <w:t xml:space="preserve"> conversation has shifted from whether anticipatory action works to how it can be scaled, financed and embedded across diverse contexts. One of DRC’s most meaningful contributions is our ability to pair open-source predictive modelling with community-level insight yielding timely, cost-effective and locally led preventive actions. This year’s report will highlight these examples and reinforce how AA sits naturally at the intersection of humanitarian, development and </w:t>
      </w:r>
      <w:r w:rsidRPr="00C166DA">
        <w:rPr>
          <w:rFonts w:ascii="Aptos" w:hAnsi="Aptos"/>
          <w:sz w:val="20"/>
          <w:szCs w:val="20"/>
        </w:rPr>
        <w:lastRenderedPageBreak/>
        <w:t>peacebuilding priorities. Strengthening this external narrative is essential if we are to fully leverage the opportunities created by this changing environment and demonstrate that DRC’s anticipatory work is both relevant and indispensable to the future of humanitarian action.</w:t>
      </w:r>
    </w:p>
    <w:p w14:paraId="03103D7B" w14:textId="3D400E4E" w:rsidR="00E44187" w:rsidRPr="00E44187" w:rsidRDefault="00E44187" w:rsidP="003757F3">
      <w:pPr>
        <w:pStyle w:val="Heading1"/>
        <w:spacing w:before="0"/>
        <w:rPr>
          <w:rFonts w:ascii="Aptos" w:hAnsi="Aptos"/>
          <w:color w:val="000000" w:themeColor="text1"/>
          <w:sz w:val="24"/>
          <w:szCs w:val="24"/>
        </w:rPr>
      </w:pPr>
      <w:r w:rsidRPr="00E44187">
        <w:rPr>
          <w:rFonts w:ascii="Aptos" w:hAnsi="Aptos"/>
          <w:color w:val="000000" w:themeColor="text1"/>
          <w:sz w:val="24"/>
          <w:szCs w:val="24"/>
        </w:rPr>
        <w:lastRenderedPageBreak/>
        <w:t>1. Executive Summary (</w:t>
      </w:r>
      <w:r w:rsidR="00E25058">
        <w:rPr>
          <w:rFonts w:ascii="Aptos" w:hAnsi="Aptos"/>
          <w:color w:val="000000" w:themeColor="text1"/>
          <w:sz w:val="24"/>
          <w:szCs w:val="24"/>
        </w:rPr>
        <w:t xml:space="preserve">2 </w:t>
      </w:r>
      <w:r w:rsidRPr="00E44187">
        <w:rPr>
          <w:rFonts w:ascii="Aptos" w:hAnsi="Aptos"/>
          <w:color w:val="000000" w:themeColor="text1"/>
          <w:sz w:val="24"/>
          <w:szCs w:val="24"/>
        </w:rPr>
        <w:t>pages)</w:t>
      </w:r>
    </w:p>
    <w:p w14:paraId="2113592C" w14:textId="77777777" w:rsidR="00E44187" w:rsidRPr="00E44187" w:rsidRDefault="00E44187" w:rsidP="003757F3">
      <w:pPr>
        <w:pStyle w:val="Heading1"/>
        <w:spacing w:before="0"/>
        <w:rPr>
          <w:rFonts w:ascii="Aptos" w:hAnsi="Aptos"/>
          <w:b w:val="0"/>
          <w:color w:val="000000" w:themeColor="text1"/>
          <w:sz w:val="24"/>
          <w:szCs w:val="24"/>
        </w:rPr>
      </w:pPr>
      <w:r w:rsidRPr="00E44187">
        <w:rPr>
          <w:rFonts w:ascii="Aptos" w:hAnsi="Aptos"/>
          <w:b w:val="0"/>
          <w:i/>
          <w:color w:val="000000" w:themeColor="text1"/>
          <w:sz w:val="24"/>
          <w:szCs w:val="24"/>
        </w:rPr>
        <w:t>(To be drafted last – colleagues provide inputs for each subsection.)</w:t>
      </w:r>
    </w:p>
    <w:p w14:paraId="7E50BD62" w14:textId="76075506" w:rsidR="00E44187" w:rsidRPr="00E44187" w:rsidRDefault="00E44187" w:rsidP="003757F3">
      <w:pPr>
        <w:pStyle w:val="Heading1"/>
        <w:spacing w:before="0"/>
        <w:rPr>
          <w:rFonts w:ascii="Aptos" w:hAnsi="Aptos"/>
          <w:color w:val="000000" w:themeColor="text1"/>
          <w:sz w:val="24"/>
          <w:szCs w:val="24"/>
        </w:rPr>
      </w:pPr>
      <w:r w:rsidRPr="00E44187">
        <w:rPr>
          <w:rFonts w:ascii="Aptos" w:hAnsi="Aptos"/>
          <w:color w:val="000000" w:themeColor="text1"/>
          <w:sz w:val="24"/>
          <w:szCs w:val="24"/>
        </w:rPr>
        <w:t>a. DRC’s AA approach (1 paragraph)</w:t>
      </w:r>
    </w:p>
    <w:p w14:paraId="7A7E459E" w14:textId="46F654C8" w:rsidR="00E44187" w:rsidRPr="00E44187" w:rsidRDefault="00E44187" w:rsidP="00C17720">
      <w:pPr>
        <w:pStyle w:val="Heading1"/>
        <w:numPr>
          <w:ilvl w:val="0"/>
          <w:numId w:val="7"/>
        </w:numPr>
        <w:spacing w:before="0"/>
        <w:ind w:left="714" w:hanging="357"/>
        <w:rPr>
          <w:rFonts w:ascii="Aptos" w:hAnsi="Aptos"/>
          <w:b w:val="0"/>
          <w:color w:val="000000" w:themeColor="text1"/>
          <w:sz w:val="24"/>
          <w:szCs w:val="24"/>
        </w:rPr>
      </w:pPr>
      <w:r w:rsidRPr="00E44187">
        <w:rPr>
          <w:rFonts w:ascii="Aptos" w:hAnsi="Aptos"/>
          <w:b w:val="0"/>
          <w:color w:val="000000" w:themeColor="text1"/>
          <w:sz w:val="24"/>
          <w:szCs w:val="24"/>
        </w:rPr>
        <w:t>Layered forecasting model: national-level Foresight + sub-national AHEAD.</w:t>
      </w:r>
    </w:p>
    <w:p w14:paraId="5941C9B0" w14:textId="14DF9037" w:rsidR="00E44187" w:rsidRPr="00E44187" w:rsidRDefault="00E44187" w:rsidP="00C17720">
      <w:pPr>
        <w:pStyle w:val="Heading1"/>
        <w:numPr>
          <w:ilvl w:val="0"/>
          <w:numId w:val="7"/>
        </w:numPr>
        <w:spacing w:before="0"/>
        <w:ind w:left="714" w:hanging="357"/>
        <w:rPr>
          <w:rFonts w:ascii="Aptos" w:hAnsi="Aptos"/>
          <w:b w:val="0"/>
          <w:color w:val="000000" w:themeColor="text1"/>
          <w:sz w:val="24"/>
          <w:szCs w:val="24"/>
        </w:rPr>
      </w:pPr>
      <w:r w:rsidRPr="00E44187">
        <w:rPr>
          <w:rFonts w:ascii="Aptos" w:hAnsi="Aptos"/>
          <w:b w:val="0"/>
          <w:color w:val="000000" w:themeColor="text1"/>
          <w:sz w:val="24"/>
          <w:szCs w:val="24"/>
        </w:rPr>
        <w:t>Community insight + predictive analytics as DRC’s core value-add.</w:t>
      </w:r>
    </w:p>
    <w:p w14:paraId="4BE3588D" w14:textId="470F4A14" w:rsidR="00E44187" w:rsidRDefault="001A3F1C" w:rsidP="00C17720">
      <w:pPr>
        <w:pStyle w:val="Heading1"/>
        <w:numPr>
          <w:ilvl w:val="0"/>
          <w:numId w:val="7"/>
        </w:numPr>
        <w:spacing w:before="0"/>
        <w:ind w:left="714" w:hanging="357"/>
        <w:rPr>
          <w:rFonts w:ascii="Aptos" w:hAnsi="Aptos"/>
          <w:b w:val="0"/>
          <w:color w:val="000000" w:themeColor="text1"/>
          <w:sz w:val="24"/>
          <w:szCs w:val="24"/>
        </w:rPr>
      </w:pPr>
      <w:r w:rsidRPr="001A3F1C">
        <w:rPr>
          <w:noProof/>
        </w:rPr>
        <mc:AlternateContent>
          <mc:Choice Requires="wps">
            <w:drawing>
              <wp:anchor distT="45720" distB="45720" distL="114300" distR="114300" simplePos="0" relativeHeight="251658240" behindDoc="0" locked="0" layoutInCell="1" allowOverlap="1" wp14:anchorId="1C6452FB" wp14:editId="3099B7A9">
                <wp:simplePos x="0" y="0"/>
                <wp:positionH relativeFrom="margin">
                  <wp:align>left</wp:align>
                </wp:positionH>
                <wp:positionV relativeFrom="paragraph">
                  <wp:posOffset>549275</wp:posOffset>
                </wp:positionV>
                <wp:extent cx="5557520" cy="1939925"/>
                <wp:effectExtent l="0" t="0" r="2413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520" cy="1939925"/>
                        </a:xfrm>
                        <a:prstGeom prst="rect">
                          <a:avLst/>
                        </a:prstGeom>
                        <a:solidFill>
                          <a:srgbClr val="FFFFFF"/>
                        </a:solidFill>
                        <a:ln w="9525">
                          <a:solidFill>
                            <a:srgbClr val="000000"/>
                          </a:solidFill>
                          <a:miter lim="800000"/>
                          <a:headEnd/>
                          <a:tailEnd/>
                        </a:ln>
                      </wps:spPr>
                      <wps:txbx>
                        <w:txbxContent>
                          <w:p w14:paraId="1B6627FB" w14:textId="77777777" w:rsidR="001A3F1C" w:rsidRPr="00E44187" w:rsidRDefault="001A3F1C" w:rsidP="001A3F1C">
                            <w:pPr>
                              <w:pStyle w:val="Heading1"/>
                              <w:spacing w:before="0"/>
                              <w:rPr>
                                <w:rFonts w:ascii="Aptos" w:hAnsi="Aptos"/>
                                <w:color w:val="000000" w:themeColor="text1"/>
                                <w:sz w:val="24"/>
                                <w:szCs w:val="24"/>
                              </w:rPr>
                            </w:pPr>
                            <w:r w:rsidRPr="00E44187">
                              <w:rPr>
                                <w:rFonts w:ascii="Aptos" w:hAnsi="Aptos"/>
                                <w:color w:val="000000" w:themeColor="text1"/>
                                <w:sz w:val="24"/>
                                <w:szCs w:val="24"/>
                              </w:rPr>
                              <w:t>Box: AA’s integration into DRC’s new Theory of Change &amp; Solutions Platform</w:t>
                            </w:r>
                          </w:p>
                          <w:p w14:paraId="391890A4" w14:textId="77777777" w:rsidR="001A3F1C" w:rsidRDefault="001A3F1C" w:rsidP="001A3F1C">
                            <w:pPr>
                              <w:pStyle w:val="Heading1"/>
                              <w:spacing w:before="0"/>
                              <w:rPr>
                                <w:rFonts w:ascii="Aptos" w:hAnsi="Aptos"/>
                                <w:color w:val="000000" w:themeColor="text1"/>
                                <w:sz w:val="24"/>
                                <w:szCs w:val="24"/>
                              </w:rPr>
                            </w:pPr>
                          </w:p>
                          <w:p w14:paraId="7E71AFDA" w14:textId="77777777" w:rsidR="001A3F1C" w:rsidRPr="00E44187" w:rsidRDefault="001A3F1C" w:rsidP="001A3F1C">
                            <w:pPr>
                              <w:pStyle w:val="Heading1"/>
                              <w:spacing w:before="0"/>
                              <w:rPr>
                                <w:rFonts w:ascii="Aptos" w:hAnsi="Aptos"/>
                                <w:color w:val="000000" w:themeColor="text1"/>
                                <w:sz w:val="24"/>
                                <w:szCs w:val="24"/>
                              </w:rPr>
                            </w:pPr>
                            <w:r w:rsidRPr="00E44187">
                              <w:rPr>
                                <w:rFonts w:ascii="Aptos" w:hAnsi="Aptos"/>
                                <w:color w:val="000000" w:themeColor="text1"/>
                                <w:sz w:val="24"/>
                                <w:szCs w:val="24"/>
                              </w:rPr>
                              <w:t>Short box explaining:</w:t>
                            </w:r>
                          </w:p>
                          <w:p w14:paraId="6A743AF3"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 xml:space="preserve">AA contributes across five </w:t>
                            </w:r>
                            <w:proofErr w:type="spellStart"/>
                            <w:r w:rsidRPr="00E44187">
                              <w:rPr>
                                <w:rFonts w:ascii="Aptos" w:hAnsi="Aptos"/>
                                <w:color w:val="000000" w:themeColor="text1"/>
                                <w:sz w:val="24"/>
                                <w:szCs w:val="24"/>
                              </w:rPr>
                              <w:t>ToC</w:t>
                            </w:r>
                            <w:proofErr w:type="spellEnd"/>
                            <w:r w:rsidRPr="00E44187">
                              <w:rPr>
                                <w:rFonts w:ascii="Aptos" w:hAnsi="Aptos"/>
                                <w:color w:val="000000" w:themeColor="text1"/>
                                <w:sz w:val="24"/>
                                <w:szCs w:val="24"/>
                              </w:rPr>
                              <w:t xml:space="preserve"> outcome areas</w:t>
                            </w:r>
                          </w:p>
                          <w:p w14:paraId="080666C1"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AA as bridge between Emergency → Solutions</w:t>
                            </w:r>
                          </w:p>
                          <w:p w14:paraId="78A0B1DB"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Localisation + prevention + resilience angles</w:t>
                            </w:r>
                          </w:p>
                          <w:p w14:paraId="47D42428" w14:textId="77777777" w:rsidR="001A3F1C" w:rsidRDefault="001A3F1C" w:rsidP="001A3F1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6452FB" id="_x0000_t202" coordsize="21600,21600" o:spt="202" path="m,l,21600r21600,l21600,xe">
                <v:stroke joinstyle="miter"/>
                <v:path gradientshapeok="t" o:connecttype="rect"/>
              </v:shapetype>
              <v:shape id="Text Box 2" o:spid="_x0000_s1026" type="#_x0000_t202" style="position:absolute;left:0;text-align:left;margin-left:0;margin-top:43.25pt;width:437.6pt;height:152.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">
                <v:textbox>
                  <w:txbxContent>
                    <w:p w14:paraId="1B6627FB" w14:textId="77777777" w:rsidR="001A3F1C" w:rsidRPr="00E44187" w:rsidRDefault="001A3F1C" w:rsidP="001A3F1C">
                      <w:pPr>
                        <w:pStyle w:val="Heading1"/>
                        <w:spacing w:before="0"/>
                        <w:rPr>
                          <w:rFonts w:ascii="Aptos" w:hAnsi="Aptos"/>
                          <w:color w:val="000000" w:themeColor="text1"/>
                          <w:sz w:val="24"/>
                          <w:szCs w:val="24"/>
                        </w:rPr>
                      </w:pPr>
                      <w:r w:rsidRPr="00E44187">
                        <w:rPr>
                          <w:rFonts w:ascii="Aptos" w:hAnsi="Aptos"/>
                          <w:color w:val="000000" w:themeColor="text1"/>
                          <w:sz w:val="24"/>
                          <w:szCs w:val="24"/>
                        </w:rPr>
                        <w:t>Box: AA’s integration into DRC’s new Theory of Change &amp; Solutions Platform</w:t>
                      </w:r>
                    </w:p>
                    <w:p w14:paraId="391890A4" w14:textId="77777777" w:rsidR="001A3F1C" w:rsidRDefault="001A3F1C" w:rsidP="001A3F1C">
                      <w:pPr>
                        <w:pStyle w:val="Heading1"/>
                        <w:spacing w:before="0"/>
                        <w:rPr>
                          <w:rFonts w:ascii="Aptos" w:hAnsi="Aptos"/>
                          <w:color w:val="000000" w:themeColor="text1"/>
                          <w:sz w:val="24"/>
                          <w:szCs w:val="24"/>
                        </w:rPr>
                      </w:pPr>
                    </w:p>
                    <w:p w14:paraId="7E71AFDA" w14:textId="77777777" w:rsidR="001A3F1C" w:rsidRPr="00E44187" w:rsidRDefault="001A3F1C" w:rsidP="001A3F1C">
                      <w:pPr>
                        <w:pStyle w:val="Heading1"/>
                        <w:spacing w:before="0"/>
                        <w:rPr>
                          <w:rFonts w:ascii="Aptos" w:hAnsi="Aptos"/>
                          <w:color w:val="000000" w:themeColor="text1"/>
                          <w:sz w:val="24"/>
                          <w:szCs w:val="24"/>
                        </w:rPr>
                      </w:pPr>
                      <w:r w:rsidRPr="00E44187">
                        <w:rPr>
                          <w:rFonts w:ascii="Aptos" w:hAnsi="Aptos"/>
                          <w:color w:val="000000" w:themeColor="text1"/>
                          <w:sz w:val="24"/>
                          <w:szCs w:val="24"/>
                        </w:rPr>
                        <w:t>Short box explaining:</w:t>
                      </w:r>
                    </w:p>
                    <w:p w14:paraId="6A743AF3"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 xml:space="preserve">AA contributes across five </w:t>
                      </w:r>
                      <w:proofErr w:type="spellStart"/>
                      <w:r w:rsidRPr="00E44187">
                        <w:rPr>
                          <w:rFonts w:ascii="Aptos" w:hAnsi="Aptos"/>
                          <w:color w:val="000000" w:themeColor="text1"/>
                          <w:sz w:val="24"/>
                          <w:szCs w:val="24"/>
                        </w:rPr>
                        <w:t>ToC</w:t>
                      </w:r>
                      <w:proofErr w:type="spellEnd"/>
                      <w:r w:rsidRPr="00E44187">
                        <w:rPr>
                          <w:rFonts w:ascii="Aptos" w:hAnsi="Aptos"/>
                          <w:color w:val="000000" w:themeColor="text1"/>
                          <w:sz w:val="24"/>
                          <w:szCs w:val="24"/>
                        </w:rPr>
                        <w:t xml:space="preserve"> outcome areas</w:t>
                      </w:r>
                    </w:p>
                    <w:p w14:paraId="080666C1"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AA as bridge between Emergency → Solutions</w:t>
                      </w:r>
                    </w:p>
                    <w:p w14:paraId="78A0B1DB" w14:textId="77777777" w:rsidR="001A3F1C" w:rsidRPr="00E44187" w:rsidRDefault="001A3F1C" w:rsidP="001A3F1C">
                      <w:pPr>
                        <w:pStyle w:val="Heading1"/>
                        <w:numPr>
                          <w:ilvl w:val="0"/>
                          <w:numId w:val="9"/>
                        </w:numPr>
                        <w:spacing w:before="0"/>
                        <w:rPr>
                          <w:rFonts w:ascii="Aptos" w:hAnsi="Aptos"/>
                          <w:color w:val="000000" w:themeColor="text1"/>
                          <w:sz w:val="24"/>
                          <w:szCs w:val="24"/>
                        </w:rPr>
                      </w:pPr>
                      <w:r w:rsidRPr="00E44187">
                        <w:rPr>
                          <w:rFonts w:ascii="Aptos" w:hAnsi="Aptos"/>
                          <w:color w:val="000000" w:themeColor="text1"/>
                          <w:sz w:val="24"/>
                          <w:szCs w:val="24"/>
                        </w:rPr>
                        <w:t>Localisation + prevention + resilience angles</w:t>
                      </w:r>
                    </w:p>
                    <w:p w14:paraId="47D42428" w14:textId="77777777" w:rsidR="001A3F1C" w:rsidRDefault="001A3F1C" w:rsidP="001A3F1C"/>
                  </w:txbxContent>
                </v:textbox>
                <w10:wrap type="square" anchorx="margin"/>
              </v:shape>
            </w:pict>
          </mc:Fallback>
        </mc:AlternateContent>
      </w:r>
      <w:r w:rsidR="00E44187" w:rsidRPr="00E44187">
        <w:rPr>
          <w:rFonts w:ascii="Aptos" w:hAnsi="Aptos"/>
          <w:b w:val="0"/>
          <w:color w:val="000000" w:themeColor="text1"/>
          <w:sz w:val="24"/>
          <w:szCs w:val="24"/>
        </w:rPr>
        <w:t xml:space="preserve">AA as both programmatic and policy tool contributing to DRC’s </w:t>
      </w:r>
      <w:proofErr w:type="spellStart"/>
      <w:r w:rsidR="00E44187" w:rsidRPr="00E44187">
        <w:rPr>
          <w:rFonts w:ascii="Aptos" w:hAnsi="Aptos"/>
          <w:b w:val="0"/>
          <w:color w:val="000000" w:themeColor="text1"/>
          <w:sz w:val="24"/>
          <w:szCs w:val="24"/>
        </w:rPr>
        <w:t>ToC</w:t>
      </w:r>
      <w:proofErr w:type="spellEnd"/>
      <w:r w:rsidR="00E44187" w:rsidRPr="00E44187">
        <w:rPr>
          <w:rFonts w:ascii="Aptos" w:hAnsi="Aptos"/>
          <w:b w:val="0"/>
          <w:color w:val="000000" w:themeColor="text1"/>
          <w:sz w:val="24"/>
          <w:szCs w:val="24"/>
        </w:rPr>
        <w:t xml:space="preserve"> (Emergency + Solutions).</w:t>
      </w:r>
    </w:p>
    <w:p w14:paraId="6BC8FD79" w14:textId="19FDCF4B" w:rsidR="00E44187" w:rsidRPr="00E44187" w:rsidRDefault="00E44187" w:rsidP="003757F3">
      <w:pPr>
        <w:pStyle w:val="Heading1"/>
        <w:spacing w:before="0"/>
        <w:rPr>
          <w:rFonts w:ascii="Aptos" w:hAnsi="Aptos"/>
          <w:color w:val="000000" w:themeColor="text1"/>
          <w:sz w:val="24"/>
          <w:szCs w:val="24"/>
        </w:rPr>
      </w:pPr>
      <w:r w:rsidRPr="00E44187">
        <w:rPr>
          <w:rFonts w:ascii="Aptos" w:hAnsi="Aptos"/>
          <w:color w:val="000000" w:themeColor="text1"/>
          <w:sz w:val="24"/>
          <w:szCs w:val="24"/>
        </w:rPr>
        <w:t>b. AA snapshots across the year</w:t>
      </w:r>
      <w:r w:rsidR="0077666B">
        <w:rPr>
          <w:rFonts w:ascii="Aptos" w:hAnsi="Aptos"/>
          <w:color w:val="000000" w:themeColor="text1"/>
          <w:sz w:val="24"/>
          <w:szCs w:val="24"/>
        </w:rPr>
        <w:t>:</w:t>
      </w:r>
      <w:r w:rsidRPr="00E44187">
        <w:rPr>
          <w:rFonts w:ascii="Aptos" w:hAnsi="Aptos"/>
          <w:color w:val="000000" w:themeColor="text1"/>
          <w:sz w:val="24"/>
          <w:szCs w:val="24"/>
        </w:rPr>
        <w:t xml:space="preserve"> a cohesive narrative of displacement</w:t>
      </w:r>
    </w:p>
    <w:p w14:paraId="22F640B5" w14:textId="2A7CEE49" w:rsidR="003757F3" w:rsidRDefault="00E44187" w:rsidP="003757F3">
      <w:pPr>
        <w:pStyle w:val="Heading1"/>
        <w:spacing w:before="0"/>
        <w:rPr>
          <w:rFonts w:ascii="Aptos" w:hAnsi="Aptos"/>
          <w:b w:val="0"/>
          <w:color w:val="000000" w:themeColor="text1"/>
          <w:sz w:val="24"/>
          <w:szCs w:val="24"/>
        </w:rPr>
      </w:pPr>
      <w:r w:rsidRPr="00E44187">
        <w:rPr>
          <w:rFonts w:ascii="Aptos" w:hAnsi="Aptos"/>
          <w:b w:val="0"/>
          <w:color w:val="000000" w:themeColor="text1"/>
          <w:sz w:val="24"/>
          <w:szCs w:val="24"/>
        </w:rPr>
        <w:t xml:space="preserve">Use material from the monthly forecast snapshots </w:t>
      </w:r>
      <w:r w:rsidR="003757F3">
        <w:rPr>
          <w:rFonts w:ascii="Aptos" w:hAnsi="Aptos"/>
          <w:b w:val="0"/>
          <w:color w:val="000000" w:themeColor="text1"/>
          <w:sz w:val="24"/>
          <w:szCs w:val="24"/>
        </w:rPr>
        <w:t xml:space="preserve">to </w:t>
      </w:r>
      <w:r w:rsidR="00F56909">
        <w:rPr>
          <w:rFonts w:ascii="Aptos" w:hAnsi="Aptos"/>
          <w:b w:val="0"/>
          <w:color w:val="000000" w:themeColor="text1"/>
          <w:sz w:val="24"/>
          <w:szCs w:val="24"/>
        </w:rPr>
        <w:t xml:space="preserve">provide a </w:t>
      </w:r>
      <w:r w:rsidRPr="00E44187">
        <w:rPr>
          <w:rFonts w:ascii="Aptos" w:hAnsi="Aptos"/>
          <w:b w:val="0"/>
          <w:color w:val="000000" w:themeColor="text1"/>
          <w:sz w:val="24"/>
          <w:szCs w:val="24"/>
        </w:rPr>
        <w:t>year-long narrative of displacement trends.</w:t>
      </w:r>
      <w:r w:rsidRPr="00E44187">
        <w:rPr>
          <w:rFonts w:ascii="Aptos" w:hAnsi="Aptos"/>
          <w:b w:val="0"/>
          <w:color w:val="000000" w:themeColor="text1"/>
          <w:sz w:val="24"/>
          <w:szCs w:val="24"/>
        </w:rPr>
        <w:br/>
        <w:t>Include:</w:t>
      </w:r>
    </w:p>
    <w:p w14:paraId="5B39B350" w14:textId="3A943C05" w:rsidR="00E44187" w:rsidRPr="00E44187" w:rsidRDefault="00E44187" w:rsidP="00C17720">
      <w:pPr>
        <w:pStyle w:val="Heading1"/>
        <w:numPr>
          <w:ilvl w:val="0"/>
          <w:numId w:val="12"/>
        </w:numPr>
        <w:spacing w:before="0"/>
        <w:rPr>
          <w:rFonts w:ascii="Aptos" w:hAnsi="Aptos"/>
          <w:b w:val="0"/>
          <w:color w:val="000000" w:themeColor="text1"/>
          <w:sz w:val="24"/>
          <w:szCs w:val="24"/>
        </w:rPr>
      </w:pPr>
      <w:r w:rsidRPr="00E44187">
        <w:rPr>
          <w:rFonts w:ascii="Aptos" w:hAnsi="Aptos"/>
          <w:b w:val="0"/>
          <w:color w:val="000000" w:themeColor="text1"/>
          <w:sz w:val="24"/>
          <w:szCs w:val="24"/>
        </w:rPr>
        <w:t>Major shifts in conflict dynamics &amp; displacement projections</w:t>
      </w:r>
    </w:p>
    <w:p w14:paraId="4FA0E6F8" w14:textId="6C4385A2" w:rsidR="00E44187" w:rsidRPr="00E44187" w:rsidRDefault="00E44187" w:rsidP="00C17720">
      <w:pPr>
        <w:pStyle w:val="Heading1"/>
        <w:numPr>
          <w:ilvl w:val="0"/>
          <w:numId w:val="8"/>
        </w:numPr>
        <w:spacing w:before="0"/>
        <w:rPr>
          <w:rFonts w:ascii="Aptos" w:hAnsi="Aptos"/>
          <w:b w:val="0"/>
          <w:color w:val="000000" w:themeColor="text1"/>
          <w:sz w:val="24"/>
          <w:szCs w:val="24"/>
        </w:rPr>
      </w:pPr>
      <w:r w:rsidRPr="00E44187">
        <w:rPr>
          <w:rFonts w:ascii="Aptos" w:hAnsi="Aptos"/>
          <w:b w:val="0"/>
          <w:color w:val="000000" w:themeColor="text1"/>
          <w:sz w:val="24"/>
          <w:szCs w:val="24"/>
        </w:rPr>
        <w:t>What the indicators showed (conflict, food security, climatic, movement, community indicators)</w:t>
      </w:r>
    </w:p>
    <w:p w14:paraId="6AC988F0" w14:textId="06F9D208" w:rsidR="00E44187" w:rsidRPr="00E44187" w:rsidRDefault="00E44187" w:rsidP="00C17720">
      <w:pPr>
        <w:pStyle w:val="Heading1"/>
        <w:numPr>
          <w:ilvl w:val="0"/>
          <w:numId w:val="8"/>
        </w:numPr>
        <w:spacing w:before="0"/>
        <w:rPr>
          <w:rFonts w:ascii="Aptos" w:hAnsi="Aptos"/>
          <w:b w:val="0"/>
          <w:color w:val="000000" w:themeColor="text1"/>
          <w:sz w:val="24"/>
          <w:szCs w:val="24"/>
        </w:rPr>
      </w:pPr>
      <w:r w:rsidRPr="00E44187">
        <w:rPr>
          <w:rFonts w:ascii="Aptos" w:hAnsi="Aptos"/>
          <w:b w:val="0"/>
          <w:color w:val="000000" w:themeColor="text1"/>
          <w:sz w:val="24"/>
          <w:szCs w:val="24"/>
        </w:rPr>
        <w:t>What changed in model performance or coverage</w:t>
      </w:r>
    </w:p>
    <w:p w14:paraId="1DEBC37C" w14:textId="3C7ED784" w:rsidR="00C25767" w:rsidRPr="00E51CAE" w:rsidRDefault="00E44187" w:rsidP="00C25767">
      <w:pPr>
        <w:pStyle w:val="Heading1"/>
        <w:numPr>
          <w:ilvl w:val="0"/>
          <w:numId w:val="8"/>
        </w:numPr>
        <w:spacing w:before="0"/>
        <w:rPr>
          <w:rFonts w:ascii="Aptos" w:hAnsi="Aptos"/>
          <w:b w:val="0"/>
          <w:color w:val="000000" w:themeColor="text1"/>
          <w:sz w:val="24"/>
          <w:szCs w:val="24"/>
        </w:rPr>
      </w:pPr>
      <w:r w:rsidRPr="00E44187">
        <w:rPr>
          <w:rFonts w:ascii="Aptos" w:hAnsi="Aptos"/>
          <w:b w:val="0"/>
          <w:color w:val="000000" w:themeColor="text1"/>
          <w:sz w:val="24"/>
          <w:szCs w:val="24"/>
        </w:rPr>
        <w:t>Key insights: predictability, seasonality, displacement patterns</w:t>
      </w:r>
    </w:p>
    <w:p w14:paraId="56C31AFE" w14:textId="77777777" w:rsidR="001869EC" w:rsidRPr="00E44187" w:rsidRDefault="00C25767" w:rsidP="001869EC">
      <w:pPr>
        <w:pStyle w:val="Heading1"/>
        <w:spacing w:before="0" w:line="240" w:lineRule="auto"/>
        <w:rPr>
          <w:rFonts w:ascii="Aptos" w:hAnsi="Aptos"/>
          <w:color w:val="000000" w:themeColor="text1"/>
          <w:sz w:val="24"/>
          <w:szCs w:val="24"/>
        </w:rPr>
      </w:pPr>
      <w:r w:rsidRPr="2CFF8CCD">
        <w:rPr>
          <w:rFonts w:ascii="Aptos" w:hAnsi="Aptos"/>
          <w:color w:val="000000" w:themeColor="text1"/>
          <w:sz w:val="24"/>
          <w:szCs w:val="24"/>
        </w:rPr>
        <w:t>c</w:t>
      </w:r>
      <w:r w:rsidR="00E44187" w:rsidRPr="2CFF8CCD">
        <w:rPr>
          <w:rFonts w:ascii="Aptos" w:hAnsi="Aptos"/>
          <w:color w:val="000000" w:themeColor="text1"/>
          <w:sz w:val="24"/>
          <w:szCs w:val="24"/>
        </w:rPr>
        <w:t xml:space="preserve">. </w:t>
      </w:r>
      <w:r w:rsidR="001869EC" w:rsidRPr="2CFF8CCD">
        <w:rPr>
          <w:rFonts w:ascii="Aptos" w:hAnsi="Aptos"/>
          <w:color w:val="000000" w:themeColor="text1"/>
          <w:sz w:val="24"/>
          <w:szCs w:val="24"/>
        </w:rPr>
        <w:t xml:space="preserve">ICA insights </w:t>
      </w:r>
    </w:p>
    <w:p w14:paraId="15EF730B" w14:textId="77777777" w:rsidR="001869EC" w:rsidRPr="001869EC" w:rsidRDefault="001869EC" w:rsidP="00C17720">
      <w:pPr>
        <w:pStyle w:val="Heading1"/>
        <w:numPr>
          <w:ilvl w:val="0"/>
          <w:numId w:val="13"/>
        </w:numPr>
        <w:spacing w:before="0" w:line="240" w:lineRule="auto"/>
        <w:rPr>
          <w:rFonts w:ascii="Aptos" w:hAnsi="Aptos"/>
          <w:b w:val="0"/>
          <w:color w:val="000000" w:themeColor="text1"/>
          <w:sz w:val="24"/>
          <w:szCs w:val="24"/>
        </w:rPr>
      </w:pPr>
      <w:r w:rsidRPr="001869EC">
        <w:rPr>
          <w:rFonts w:ascii="Aptos" w:hAnsi="Aptos"/>
          <w:b w:val="0"/>
          <w:color w:val="000000" w:themeColor="text1"/>
          <w:sz w:val="24"/>
          <w:szCs w:val="24"/>
        </w:rPr>
        <w:t>Conflict drivers, social cleavages, local EWS capacity</w:t>
      </w:r>
    </w:p>
    <w:p w14:paraId="1E1D2EA3" w14:textId="77777777" w:rsidR="001869EC" w:rsidRPr="001869EC" w:rsidRDefault="001869EC" w:rsidP="00C17720">
      <w:pPr>
        <w:pStyle w:val="Heading1"/>
        <w:numPr>
          <w:ilvl w:val="0"/>
          <w:numId w:val="13"/>
        </w:numPr>
        <w:spacing w:before="0" w:line="240" w:lineRule="auto"/>
        <w:rPr>
          <w:rFonts w:ascii="Aptos" w:hAnsi="Aptos"/>
          <w:b w:val="0"/>
          <w:color w:val="000000" w:themeColor="text1"/>
          <w:sz w:val="24"/>
          <w:szCs w:val="24"/>
        </w:rPr>
      </w:pPr>
      <w:r w:rsidRPr="001869EC">
        <w:rPr>
          <w:rFonts w:ascii="Aptos" w:hAnsi="Aptos"/>
          <w:b w:val="0"/>
          <w:color w:val="000000" w:themeColor="text1"/>
          <w:sz w:val="24"/>
          <w:szCs w:val="24"/>
        </w:rPr>
        <w:t>Diaspora influence</w:t>
      </w:r>
    </w:p>
    <w:p w14:paraId="49FB6217" w14:textId="77777777" w:rsidR="001869EC" w:rsidRDefault="001869EC" w:rsidP="00C17720">
      <w:pPr>
        <w:pStyle w:val="Heading1"/>
        <w:numPr>
          <w:ilvl w:val="0"/>
          <w:numId w:val="13"/>
        </w:numPr>
        <w:spacing w:before="0" w:line="240" w:lineRule="auto"/>
        <w:rPr>
          <w:rFonts w:ascii="Aptos" w:hAnsi="Aptos"/>
          <w:b w:val="0"/>
          <w:color w:val="000000" w:themeColor="text1"/>
          <w:sz w:val="24"/>
          <w:szCs w:val="24"/>
        </w:rPr>
      </w:pPr>
      <w:r w:rsidRPr="001869EC">
        <w:rPr>
          <w:rFonts w:ascii="Aptos" w:hAnsi="Aptos"/>
          <w:b w:val="0"/>
          <w:color w:val="000000" w:themeColor="text1"/>
          <w:sz w:val="24"/>
          <w:szCs w:val="24"/>
        </w:rPr>
        <w:t>Hard-to-reach complexity</w:t>
      </w:r>
    </w:p>
    <w:p w14:paraId="7CEF8E36" w14:textId="3DED0C3D" w:rsidR="001869EC" w:rsidRDefault="001869EC" w:rsidP="00C17720">
      <w:pPr>
        <w:pStyle w:val="Heading1"/>
        <w:numPr>
          <w:ilvl w:val="0"/>
          <w:numId w:val="13"/>
        </w:numPr>
        <w:spacing w:before="0" w:line="240" w:lineRule="auto"/>
        <w:rPr>
          <w:rFonts w:ascii="Aptos" w:hAnsi="Aptos"/>
          <w:b w:val="0"/>
          <w:bCs w:val="0"/>
          <w:color w:val="000000" w:themeColor="text1"/>
          <w:sz w:val="24"/>
          <w:szCs w:val="24"/>
        </w:rPr>
      </w:pPr>
      <w:r w:rsidRPr="2CFF8CCD">
        <w:rPr>
          <w:rFonts w:ascii="Aptos" w:hAnsi="Aptos"/>
          <w:b w:val="0"/>
          <w:bCs w:val="0"/>
          <w:color w:val="000000" w:themeColor="text1"/>
          <w:sz w:val="24"/>
          <w:szCs w:val="24"/>
        </w:rPr>
        <w:t>Community roles in early warning</w:t>
      </w:r>
    </w:p>
    <w:p w14:paraId="70755E0D" w14:textId="2290436D" w:rsidR="00E44187" w:rsidRPr="00E44187" w:rsidRDefault="001869EC" w:rsidP="001869EC">
      <w:pPr>
        <w:pStyle w:val="Heading1"/>
        <w:spacing w:before="0"/>
        <w:rPr>
          <w:rFonts w:ascii="Aptos" w:hAnsi="Aptos"/>
          <w:color w:val="000000" w:themeColor="text1"/>
          <w:sz w:val="24"/>
          <w:szCs w:val="24"/>
        </w:rPr>
      </w:pPr>
      <w:r>
        <w:rPr>
          <w:rFonts w:ascii="Aptos" w:hAnsi="Aptos"/>
          <w:color w:val="000000" w:themeColor="text1"/>
          <w:sz w:val="24"/>
          <w:szCs w:val="24"/>
        </w:rPr>
        <w:t xml:space="preserve">d. </w:t>
      </w:r>
      <w:r w:rsidR="00E44187" w:rsidRPr="00E44187">
        <w:rPr>
          <w:rFonts w:ascii="Aptos" w:hAnsi="Aptos"/>
          <w:color w:val="000000" w:themeColor="text1"/>
          <w:sz w:val="24"/>
          <w:szCs w:val="24"/>
        </w:rPr>
        <w:t>DRC’s contributions to the global AA community</w:t>
      </w:r>
    </w:p>
    <w:p w14:paraId="61A5FC4D" w14:textId="346A0B28" w:rsidR="00E44187" w:rsidRPr="00E44187" w:rsidRDefault="00E44187" w:rsidP="00F56909">
      <w:pPr>
        <w:pStyle w:val="Heading1"/>
        <w:spacing w:before="0"/>
        <w:rPr>
          <w:rFonts w:ascii="Aptos" w:hAnsi="Aptos"/>
          <w:color w:val="000000" w:themeColor="text1"/>
          <w:sz w:val="24"/>
          <w:szCs w:val="24"/>
        </w:rPr>
      </w:pPr>
      <w:r w:rsidRPr="00E44187">
        <w:rPr>
          <w:rFonts w:ascii="Aptos" w:hAnsi="Aptos"/>
          <w:color w:val="000000" w:themeColor="text1"/>
          <w:sz w:val="24"/>
          <w:szCs w:val="24"/>
        </w:rPr>
        <w:t>Aggregate rather than list:</w:t>
      </w:r>
    </w:p>
    <w:p w14:paraId="37CD0AC9" w14:textId="77777777" w:rsidR="00E44187" w:rsidRPr="00E44187" w:rsidRDefault="00E44187" w:rsidP="00C17720">
      <w:pPr>
        <w:pStyle w:val="Heading1"/>
        <w:numPr>
          <w:ilvl w:val="0"/>
          <w:numId w:val="10"/>
        </w:numPr>
        <w:spacing w:before="0"/>
        <w:rPr>
          <w:rFonts w:ascii="Aptos" w:hAnsi="Aptos"/>
          <w:b w:val="0"/>
          <w:color w:val="000000" w:themeColor="text1"/>
          <w:sz w:val="24"/>
          <w:szCs w:val="24"/>
        </w:rPr>
      </w:pPr>
      <w:r w:rsidRPr="00E44187">
        <w:rPr>
          <w:rFonts w:ascii="Aptos" w:hAnsi="Aptos"/>
          <w:color w:val="000000" w:themeColor="text1"/>
          <w:sz w:val="24"/>
          <w:szCs w:val="24"/>
        </w:rPr>
        <w:t>Co-organising 3 major global/regional platforms</w:t>
      </w:r>
      <w:r w:rsidRPr="00E44187">
        <w:rPr>
          <w:rFonts w:ascii="Aptos" w:hAnsi="Aptos"/>
          <w:b w:val="0"/>
          <w:color w:val="000000" w:themeColor="text1"/>
          <w:sz w:val="24"/>
          <w:szCs w:val="24"/>
        </w:rPr>
        <w:t>:</w:t>
      </w:r>
    </w:p>
    <w:p w14:paraId="5023A1AD" w14:textId="77852697" w:rsidR="00E44187" w:rsidRPr="00E44187" w:rsidRDefault="00E44187" w:rsidP="00C17720">
      <w:pPr>
        <w:pStyle w:val="Heading1"/>
        <w:numPr>
          <w:ilvl w:val="1"/>
          <w:numId w:val="10"/>
        </w:numPr>
        <w:spacing w:before="0"/>
        <w:rPr>
          <w:rFonts w:ascii="Aptos" w:hAnsi="Aptos"/>
          <w:b w:val="0"/>
          <w:color w:val="000000" w:themeColor="text1"/>
          <w:sz w:val="24"/>
          <w:szCs w:val="24"/>
        </w:rPr>
      </w:pPr>
      <w:r w:rsidRPr="00E44187">
        <w:rPr>
          <w:rFonts w:ascii="Aptos" w:hAnsi="Aptos"/>
          <w:b w:val="0"/>
          <w:color w:val="000000" w:themeColor="text1"/>
          <w:sz w:val="24"/>
          <w:szCs w:val="24"/>
        </w:rPr>
        <w:t xml:space="preserve">Asia-Pacific Dialogue Platform </w:t>
      </w:r>
    </w:p>
    <w:p w14:paraId="01FE4FD4" w14:textId="553EBE5A" w:rsidR="00E44187" w:rsidRPr="00E44187" w:rsidRDefault="00E44187" w:rsidP="00C17720">
      <w:pPr>
        <w:pStyle w:val="Heading1"/>
        <w:numPr>
          <w:ilvl w:val="1"/>
          <w:numId w:val="10"/>
        </w:numPr>
        <w:spacing w:before="0"/>
        <w:rPr>
          <w:rFonts w:ascii="Aptos" w:hAnsi="Aptos"/>
          <w:b w:val="0"/>
          <w:color w:val="000000" w:themeColor="text1"/>
          <w:sz w:val="24"/>
          <w:szCs w:val="24"/>
        </w:rPr>
      </w:pPr>
      <w:r w:rsidRPr="00E44187">
        <w:rPr>
          <w:rFonts w:ascii="Aptos" w:hAnsi="Aptos"/>
          <w:b w:val="0"/>
          <w:color w:val="000000" w:themeColor="text1"/>
          <w:sz w:val="24"/>
          <w:szCs w:val="24"/>
        </w:rPr>
        <w:t>West &amp; Central Africa Dialogue Platform</w:t>
      </w:r>
    </w:p>
    <w:p w14:paraId="144933A9" w14:textId="5ED27855" w:rsidR="00E44187" w:rsidRPr="00E44187" w:rsidRDefault="00E44187" w:rsidP="00C17720">
      <w:pPr>
        <w:pStyle w:val="Heading1"/>
        <w:numPr>
          <w:ilvl w:val="1"/>
          <w:numId w:val="10"/>
        </w:numPr>
        <w:spacing w:before="0"/>
        <w:rPr>
          <w:rFonts w:ascii="Aptos" w:hAnsi="Aptos"/>
          <w:b w:val="0"/>
          <w:color w:val="000000" w:themeColor="text1"/>
          <w:sz w:val="24"/>
          <w:szCs w:val="24"/>
        </w:rPr>
      </w:pPr>
      <w:r w:rsidRPr="00E44187">
        <w:rPr>
          <w:rFonts w:ascii="Aptos" w:hAnsi="Aptos"/>
          <w:b w:val="0"/>
          <w:color w:val="000000" w:themeColor="text1"/>
          <w:sz w:val="24"/>
          <w:szCs w:val="24"/>
        </w:rPr>
        <w:t>Global Dialogue Platform in Berlin (</w:t>
      </w:r>
      <w:r w:rsidR="003D7AE2">
        <w:rPr>
          <w:rFonts w:ascii="Aptos" w:hAnsi="Aptos"/>
          <w:b w:val="0"/>
          <w:color w:val="000000" w:themeColor="text1"/>
          <w:sz w:val="24"/>
          <w:szCs w:val="24"/>
        </w:rPr>
        <w:t xml:space="preserve">10th anniversary edition, </w:t>
      </w:r>
      <w:r w:rsidRPr="00E44187">
        <w:rPr>
          <w:rFonts w:ascii="Aptos" w:hAnsi="Aptos"/>
          <w:b w:val="0"/>
          <w:color w:val="000000" w:themeColor="text1"/>
          <w:sz w:val="24"/>
          <w:szCs w:val="24"/>
        </w:rPr>
        <w:t>DRC joined the organising team)</w:t>
      </w:r>
    </w:p>
    <w:p w14:paraId="574FA45A" w14:textId="77777777" w:rsidR="00E44187" w:rsidRPr="00E44187" w:rsidRDefault="00E44187" w:rsidP="00C17720">
      <w:pPr>
        <w:pStyle w:val="Heading1"/>
        <w:numPr>
          <w:ilvl w:val="0"/>
          <w:numId w:val="10"/>
        </w:numPr>
        <w:spacing w:before="0"/>
        <w:rPr>
          <w:rFonts w:ascii="Aptos" w:hAnsi="Aptos"/>
          <w:color w:val="000000" w:themeColor="text1"/>
          <w:sz w:val="24"/>
          <w:szCs w:val="24"/>
        </w:rPr>
      </w:pPr>
      <w:r w:rsidRPr="00E44187">
        <w:rPr>
          <w:rFonts w:ascii="Aptos" w:hAnsi="Aptos"/>
          <w:color w:val="000000" w:themeColor="text1"/>
          <w:sz w:val="24"/>
          <w:szCs w:val="24"/>
        </w:rPr>
        <w:t>Thought leadership moments:</w:t>
      </w:r>
    </w:p>
    <w:p w14:paraId="5B742C51" w14:textId="77777777" w:rsidR="00BB6B18" w:rsidRDefault="005E04EF" w:rsidP="00C17720">
      <w:pPr>
        <w:pStyle w:val="Heading1"/>
        <w:numPr>
          <w:ilvl w:val="1"/>
          <w:numId w:val="10"/>
        </w:numPr>
        <w:spacing w:before="0"/>
        <w:rPr>
          <w:rFonts w:ascii="Aptos" w:hAnsi="Aptos"/>
          <w:b w:val="0"/>
          <w:color w:val="000000" w:themeColor="text1"/>
          <w:sz w:val="24"/>
          <w:szCs w:val="24"/>
        </w:rPr>
      </w:pPr>
      <w:r w:rsidRPr="005E04EF">
        <w:rPr>
          <w:rFonts w:ascii="Aptos" w:hAnsi="Aptos"/>
          <w:b w:val="0"/>
          <w:bCs w:val="0"/>
          <w:color w:val="000000" w:themeColor="text1"/>
          <w:sz w:val="24"/>
          <w:szCs w:val="24"/>
          <w:lang w:val="en-GB"/>
        </w:rPr>
        <w:lastRenderedPageBreak/>
        <w:t xml:space="preserve">Humanitarian Networks and Partnership Week </w:t>
      </w:r>
      <w:r>
        <w:rPr>
          <w:rFonts w:ascii="Aptos" w:hAnsi="Aptos"/>
          <w:b w:val="0"/>
          <w:bCs w:val="0"/>
          <w:color w:val="000000" w:themeColor="text1"/>
          <w:sz w:val="24"/>
          <w:szCs w:val="24"/>
          <w:lang w:val="en-GB"/>
        </w:rPr>
        <w:t>(</w:t>
      </w:r>
      <w:r w:rsidR="00E44187" w:rsidRPr="00E44187">
        <w:rPr>
          <w:rFonts w:ascii="Aptos" w:hAnsi="Aptos"/>
          <w:b w:val="0"/>
          <w:color w:val="000000" w:themeColor="text1"/>
          <w:sz w:val="24"/>
          <w:szCs w:val="24"/>
        </w:rPr>
        <w:t>HNPW</w:t>
      </w:r>
      <w:r>
        <w:rPr>
          <w:rFonts w:ascii="Aptos" w:hAnsi="Aptos"/>
          <w:b w:val="0"/>
          <w:color w:val="000000" w:themeColor="text1"/>
          <w:sz w:val="24"/>
          <w:szCs w:val="24"/>
        </w:rPr>
        <w:t>)</w:t>
      </w:r>
      <w:r w:rsidR="00E44187" w:rsidRPr="00E44187">
        <w:rPr>
          <w:rFonts w:ascii="Aptos" w:hAnsi="Aptos"/>
          <w:b w:val="0"/>
          <w:color w:val="000000" w:themeColor="text1"/>
          <w:sz w:val="24"/>
          <w:szCs w:val="24"/>
        </w:rPr>
        <w:t xml:space="preserve"> sessions on conflict/AA, conflict sensitivity</w:t>
      </w:r>
      <w:r w:rsidR="00E07810">
        <w:rPr>
          <w:rFonts w:ascii="Aptos" w:hAnsi="Aptos"/>
          <w:b w:val="0"/>
          <w:color w:val="000000" w:themeColor="text1"/>
          <w:sz w:val="24"/>
          <w:szCs w:val="24"/>
        </w:rPr>
        <w:t xml:space="preserve"> </w:t>
      </w:r>
      <w:r w:rsidR="00E44187" w:rsidRPr="00E44187">
        <w:rPr>
          <w:rFonts w:ascii="Aptos" w:hAnsi="Aptos"/>
          <w:b w:val="0"/>
          <w:color w:val="000000" w:themeColor="text1"/>
          <w:sz w:val="24"/>
          <w:szCs w:val="24"/>
        </w:rPr>
        <w:t>and the ethics of anticipation</w:t>
      </w:r>
    </w:p>
    <w:p w14:paraId="11602376" w14:textId="70BB4768" w:rsidR="00E44187" w:rsidRPr="00E44187" w:rsidRDefault="00E44187" w:rsidP="00C17720">
      <w:pPr>
        <w:pStyle w:val="Heading1"/>
        <w:numPr>
          <w:ilvl w:val="1"/>
          <w:numId w:val="10"/>
        </w:numPr>
        <w:spacing w:before="0"/>
        <w:rPr>
          <w:rFonts w:ascii="Aptos" w:hAnsi="Aptos"/>
          <w:b w:val="0"/>
          <w:color w:val="000000" w:themeColor="text1"/>
          <w:sz w:val="24"/>
          <w:szCs w:val="24"/>
        </w:rPr>
      </w:pPr>
      <w:r w:rsidRPr="00E44187">
        <w:rPr>
          <w:rFonts w:ascii="Aptos" w:hAnsi="Aptos"/>
          <w:b w:val="0"/>
          <w:color w:val="000000" w:themeColor="text1"/>
          <w:sz w:val="24"/>
          <w:szCs w:val="24"/>
        </w:rPr>
        <w:t xml:space="preserve">Launch of the IOM–DRC Global Working Group on AA for </w:t>
      </w:r>
      <w:r w:rsidR="009F6B34" w:rsidRPr="00E44187">
        <w:rPr>
          <w:rFonts w:ascii="Aptos" w:hAnsi="Aptos"/>
          <w:b w:val="0"/>
          <w:color w:val="000000" w:themeColor="text1"/>
          <w:sz w:val="24"/>
          <w:szCs w:val="24"/>
        </w:rPr>
        <w:t>Displacement (over 100 members)</w:t>
      </w:r>
      <w:r w:rsidR="009F6B34" w:rsidRPr="00BB6B18">
        <w:rPr>
          <w:rFonts w:ascii="Aptos" w:hAnsi="Aptos"/>
          <w:b w:val="0"/>
          <w:color w:val="000000" w:themeColor="text1"/>
          <w:sz w:val="24"/>
          <w:szCs w:val="24"/>
        </w:rPr>
        <w:t xml:space="preserve"> </w:t>
      </w:r>
      <w:r w:rsidR="00A20621" w:rsidRPr="00BB6B18">
        <w:rPr>
          <w:rFonts w:ascii="Aptos" w:hAnsi="Aptos"/>
          <w:b w:val="0"/>
          <w:color w:val="000000" w:themeColor="text1"/>
          <w:sz w:val="24"/>
          <w:szCs w:val="24"/>
        </w:rPr>
        <w:t xml:space="preserve">(Q1 </w:t>
      </w:r>
      <w:proofErr w:type="gramStart"/>
      <w:r w:rsidR="00A20621" w:rsidRPr="00BB6B18">
        <w:rPr>
          <w:rFonts w:ascii="Aptos" w:hAnsi="Aptos"/>
          <w:b w:val="0"/>
          <w:color w:val="000000" w:themeColor="text1"/>
          <w:sz w:val="24"/>
          <w:szCs w:val="24"/>
        </w:rPr>
        <w:t>Newsletter:</w:t>
      </w:r>
      <w:r w:rsidR="00A20621" w:rsidRPr="00BB6B18">
        <w:rPr>
          <w:rFonts w:ascii="Aptos" w:hAnsi="Aptos"/>
          <w:b w:val="0"/>
          <w:bCs w:val="0"/>
          <w:i/>
          <w:color w:val="000000" w:themeColor="text1"/>
          <w:sz w:val="24"/>
          <w:szCs w:val="24"/>
          <w:lang w:val="en-GB"/>
        </w:rPr>
        <w:t>Next</w:t>
      </w:r>
      <w:proofErr w:type="gramEnd"/>
      <w:r w:rsidR="00A20621" w:rsidRPr="00BB6B18">
        <w:rPr>
          <w:rFonts w:ascii="Aptos" w:hAnsi="Aptos"/>
          <w:b w:val="0"/>
          <w:bCs w:val="0"/>
          <w:i/>
          <w:color w:val="000000" w:themeColor="text1"/>
          <w:sz w:val="24"/>
          <w:szCs w:val="24"/>
          <w:lang w:val="en-GB"/>
        </w:rPr>
        <w:t xml:space="preserve"> steps:</w:t>
      </w:r>
      <w:r w:rsidR="00A20621" w:rsidRPr="00BB6B18">
        <w:rPr>
          <w:rFonts w:ascii="Aptos" w:hAnsi="Aptos"/>
          <w:b w:val="0"/>
          <w:bCs w:val="0"/>
          <w:color w:val="000000" w:themeColor="text1"/>
          <w:sz w:val="24"/>
          <w:szCs w:val="24"/>
          <w:lang w:val="en-GB"/>
        </w:rPr>
        <w:t xml:space="preserve"> Monthly membership meetings, development of joint guidance documents, harmonized approaches to anticipatory action in displacement settings and consolidated advocacy efforts)</w:t>
      </w:r>
    </w:p>
    <w:p w14:paraId="7A0EE215" w14:textId="77777777" w:rsidR="009F6B34" w:rsidRDefault="00E44187" w:rsidP="00C17720">
      <w:pPr>
        <w:pStyle w:val="Heading1"/>
        <w:numPr>
          <w:ilvl w:val="1"/>
          <w:numId w:val="10"/>
        </w:numPr>
        <w:spacing w:before="0"/>
        <w:rPr>
          <w:rFonts w:ascii="Aptos" w:hAnsi="Aptos"/>
          <w:b w:val="0"/>
          <w:color w:val="000000" w:themeColor="text1"/>
          <w:sz w:val="24"/>
          <w:szCs w:val="24"/>
        </w:rPr>
      </w:pPr>
      <w:r w:rsidRPr="00E44187">
        <w:rPr>
          <w:rFonts w:ascii="Aptos" w:hAnsi="Aptos"/>
          <w:b w:val="0"/>
          <w:color w:val="000000" w:themeColor="text1"/>
          <w:sz w:val="24"/>
          <w:szCs w:val="24"/>
        </w:rPr>
        <w:t>Contributions to Food Security Cluster advocacy note</w:t>
      </w:r>
    </w:p>
    <w:p w14:paraId="0D433C54" w14:textId="060E37B4" w:rsidR="009F6B34" w:rsidRPr="009F6B34" w:rsidRDefault="009F6B34" w:rsidP="00C17720">
      <w:pPr>
        <w:pStyle w:val="Heading1"/>
        <w:numPr>
          <w:ilvl w:val="1"/>
          <w:numId w:val="10"/>
        </w:numPr>
        <w:spacing w:before="0"/>
        <w:rPr>
          <w:rFonts w:ascii="Aptos" w:hAnsi="Aptos"/>
          <w:b w:val="0"/>
          <w:color w:val="auto"/>
          <w:sz w:val="22"/>
          <w:szCs w:val="22"/>
        </w:rPr>
      </w:pPr>
      <w:r w:rsidRPr="009F6B34">
        <w:rPr>
          <w:rFonts w:ascii="Aptos" w:hAnsi="Aptos"/>
          <w:b w:val="0"/>
          <w:color w:val="auto"/>
          <w:sz w:val="24"/>
          <w:szCs w:val="24"/>
        </w:rPr>
        <w:t>Engagement in the 2nd International Conference on Hard-to-Reach Populations, Oxford</w:t>
      </w:r>
      <w:r w:rsidR="00B271A3">
        <w:rPr>
          <w:rFonts w:ascii="Aptos" w:hAnsi="Aptos"/>
          <w:b w:val="0"/>
          <w:color w:val="auto"/>
          <w:sz w:val="24"/>
          <w:szCs w:val="24"/>
        </w:rPr>
        <w:t xml:space="preserve">, </w:t>
      </w:r>
      <w:r w:rsidRPr="009F6B34">
        <w:rPr>
          <w:rFonts w:ascii="Aptos" w:hAnsi="Aptos"/>
          <w:b w:val="0"/>
          <w:color w:val="auto"/>
          <w:sz w:val="24"/>
          <w:szCs w:val="24"/>
        </w:rPr>
        <w:t>showcasing DRC’s work on H2R data collection, methodologies, and integration into AA.</w:t>
      </w:r>
    </w:p>
    <w:p w14:paraId="6FDB2FE1" w14:textId="4A03C256" w:rsidR="009F6B34" w:rsidRPr="009F6B34" w:rsidRDefault="009F6B34" w:rsidP="00C17720">
      <w:pPr>
        <w:pStyle w:val="Heading1"/>
        <w:numPr>
          <w:ilvl w:val="1"/>
          <w:numId w:val="10"/>
        </w:numPr>
        <w:spacing w:before="0"/>
        <w:rPr>
          <w:rFonts w:ascii="Aptos" w:hAnsi="Aptos"/>
          <w:b w:val="0"/>
          <w:color w:val="auto"/>
          <w:sz w:val="22"/>
          <w:szCs w:val="22"/>
        </w:rPr>
      </w:pPr>
      <w:r w:rsidRPr="009F6B34">
        <w:rPr>
          <w:rFonts w:ascii="Aptos" w:hAnsi="Aptos"/>
          <w:b w:val="0"/>
          <w:color w:val="auto"/>
          <w:sz w:val="24"/>
          <w:szCs w:val="24"/>
        </w:rPr>
        <w:t>SCALAA project involvement: joint Context &amp; Protection Analysis Workshops in Ethiopia and Somalia with ICPAC, FAO, IFRC, WFP → contributing to IGAD’s Regional Roadmap for Anticipatory Action.</w:t>
      </w:r>
    </w:p>
    <w:p w14:paraId="36BC6BB5" w14:textId="4A265595" w:rsidR="00E44187" w:rsidRPr="00E44187" w:rsidRDefault="00E44187" w:rsidP="00C17720">
      <w:pPr>
        <w:pStyle w:val="Heading1"/>
        <w:numPr>
          <w:ilvl w:val="0"/>
          <w:numId w:val="10"/>
        </w:numPr>
        <w:spacing w:before="0"/>
        <w:rPr>
          <w:rFonts w:ascii="Aptos" w:hAnsi="Aptos"/>
          <w:color w:val="000000" w:themeColor="text1"/>
          <w:sz w:val="24"/>
          <w:szCs w:val="24"/>
        </w:rPr>
      </w:pPr>
      <w:r w:rsidRPr="2CFF8CCD">
        <w:rPr>
          <w:rFonts w:ascii="Aptos" w:hAnsi="Aptos"/>
          <w:color w:val="000000" w:themeColor="text1"/>
          <w:sz w:val="24"/>
          <w:szCs w:val="24"/>
        </w:rPr>
        <w:t>Publications &amp; visibility:</w:t>
      </w:r>
    </w:p>
    <w:p w14:paraId="4478D8C1" w14:textId="3B29FD77" w:rsidR="00E44187" w:rsidRPr="00E51CAE" w:rsidRDefault="00E44187" w:rsidP="001869EC">
      <w:pPr>
        <w:pStyle w:val="Heading1"/>
        <w:numPr>
          <w:ilvl w:val="1"/>
          <w:numId w:val="10"/>
        </w:numPr>
        <w:spacing w:before="0"/>
        <w:rPr>
          <w:rFonts w:ascii="Aptos" w:hAnsi="Aptos"/>
          <w:b w:val="0"/>
          <w:color w:val="000000" w:themeColor="text1"/>
          <w:sz w:val="24"/>
          <w:szCs w:val="24"/>
        </w:rPr>
      </w:pPr>
      <w:proofErr w:type="gramStart"/>
      <w:r w:rsidRPr="00E44187">
        <w:rPr>
          <w:rFonts w:ascii="Aptos" w:hAnsi="Aptos"/>
          <w:b w:val="0"/>
          <w:color w:val="000000" w:themeColor="text1"/>
          <w:sz w:val="24"/>
          <w:szCs w:val="24"/>
        </w:rPr>
        <w:t>Anticipation</w:t>
      </w:r>
      <w:proofErr w:type="gramEnd"/>
      <w:r w:rsidRPr="00E44187">
        <w:rPr>
          <w:rFonts w:ascii="Aptos" w:hAnsi="Aptos"/>
          <w:b w:val="0"/>
          <w:color w:val="000000" w:themeColor="text1"/>
          <w:sz w:val="24"/>
          <w:szCs w:val="24"/>
        </w:rPr>
        <w:t xml:space="preserve"> Hub blog posts, case studies, briefings</w:t>
      </w:r>
    </w:p>
    <w:p w14:paraId="6B204E6F" w14:textId="2A7AA911" w:rsidR="00E44187" w:rsidRPr="00E44187" w:rsidRDefault="001869EC" w:rsidP="00F56909">
      <w:pPr>
        <w:pStyle w:val="Heading1"/>
        <w:spacing w:before="0"/>
        <w:rPr>
          <w:rFonts w:ascii="Aptos" w:hAnsi="Aptos"/>
          <w:color w:val="000000" w:themeColor="text1"/>
          <w:sz w:val="24"/>
          <w:szCs w:val="24"/>
        </w:rPr>
      </w:pPr>
      <w:r>
        <w:rPr>
          <w:rFonts w:ascii="Aptos" w:hAnsi="Aptos"/>
          <w:color w:val="000000" w:themeColor="text1"/>
          <w:sz w:val="24"/>
          <w:szCs w:val="24"/>
        </w:rPr>
        <w:t>e</w:t>
      </w:r>
      <w:r w:rsidR="00E44187" w:rsidRPr="00E44187">
        <w:rPr>
          <w:rFonts w:ascii="Aptos" w:hAnsi="Aptos"/>
          <w:color w:val="000000" w:themeColor="text1"/>
          <w:sz w:val="24"/>
          <w:szCs w:val="24"/>
        </w:rPr>
        <w:t>. Challenges + priorities for 2026</w:t>
      </w:r>
    </w:p>
    <w:p w14:paraId="516DEEDC" w14:textId="77777777" w:rsidR="00E44187" w:rsidRPr="00E44187" w:rsidRDefault="00E44187" w:rsidP="00C17720">
      <w:pPr>
        <w:pStyle w:val="Heading1"/>
        <w:numPr>
          <w:ilvl w:val="0"/>
          <w:numId w:val="11"/>
        </w:numPr>
        <w:spacing w:before="0"/>
        <w:rPr>
          <w:rFonts w:ascii="Aptos" w:hAnsi="Aptos"/>
          <w:b w:val="0"/>
          <w:color w:val="000000" w:themeColor="text1"/>
          <w:sz w:val="24"/>
          <w:szCs w:val="24"/>
        </w:rPr>
      </w:pPr>
      <w:r w:rsidRPr="00E44187">
        <w:rPr>
          <w:rFonts w:ascii="Aptos" w:hAnsi="Aptos"/>
          <w:b w:val="0"/>
          <w:color w:val="000000" w:themeColor="text1"/>
          <w:sz w:val="24"/>
          <w:szCs w:val="24"/>
        </w:rPr>
        <w:t>Donor cuts + Humanitarian Reset landscape</w:t>
      </w:r>
    </w:p>
    <w:p w14:paraId="0171558D" w14:textId="77777777" w:rsidR="00E44187" w:rsidRPr="00E44187" w:rsidRDefault="00E44187" w:rsidP="00C17720">
      <w:pPr>
        <w:pStyle w:val="Heading1"/>
        <w:numPr>
          <w:ilvl w:val="0"/>
          <w:numId w:val="11"/>
        </w:numPr>
        <w:spacing w:before="0"/>
        <w:rPr>
          <w:rFonts w:ascii="Aptos" w:hAnsi="Aptos"/>
          <w:b w:val="0"/>
          <w:color w:val="000000" w:themeColor="text1"/>
          <w:sz w:val="24"/>
          <w:szCs w:val="24"/>
        </w:rPr>
      </w:pPr>
      <w:r w:rsidRPr="00E44187">
        <w:rPr>
          <w:rFonts w:ascii="Aptos" w:hAnsi="Aptos"/>
          <w:b w:val="0"/>
          <w:color w:val="000000" w:themeColor="text1"/>
          <w:sz w:val="24"/>
          <w:szCs w:val="24"/>
        </w:rPr>
        <w:t>Scaling AA: financing, systems, guidance</w:t>
      </w:r>
    </w:p>
    <w:p w14:paraId="73EBBDB6" w14:textId="77777777" w:rsidR="00E44187" w:rsidRPr="00E44187" w:rsidRDefault="00E44187" w:rsidP="00C17720">
      <w:pPr>
        <w:pStyle w:val="Heading1"/>
        <w:numPr>
          <w:ilvl w:val="0"/>
          <w:numId w:val="11"/>
        </w:numPr>
        <w:spacing w:before="0"/>
        <w:rPr>
          <w:rFonts w:ascii="Aptos" w:hAnsi="Aptos"/>
          <w:b w:val="0"/>
          <w:color w:val="000000" w:themeColor="text1"/>
          <w:sz w:val="24"/>
          <w:szCs w:val="24"/>
        </w:rPr>
      </w:pPr>
      <w:r w:rsidRPr="00E44187">
        <w:rPr>
          <w:rFonts w:ascii="Aptos" w:hAnsi="Aptos"/>
          <w:b w:val="0"/>
          <w:color w:val="000000" w:themeColor="text1"/>
          <w:sz w:val="24"/>
          <w:szCs w:val="24"/>
        </w:rPr>
        <w:t>Strengthening cross-pillar uptake</w:t>
      </w:r>
    </w:p>
    <w:p w14:paraId="41AC4744" w14:textId="77777777" w:rsidR="00252A3D" w:rsidRPr="00252A3D" w:rsidRDefault="00E44187" w:rsidP="00C17720">
      <w:pPr>
        <w:pStyle w:val="Heading1"/>
        <w:numPr>
          <w:ilvl w:val="0"/>
          <w:numId w:val="11"/>
        </w:numPr>
        <w:spacing w:before="0"/>
        <w:rPr>
          <w:rFonts w:ascii="Aptos" w:hAnsi="Aptos"/>
          <w:b w:val="0"/>
          <w:color w:val="000000" w:themeColor="text1"/>
          <w:sz w:val="24"/>
          <w:szCs w:val="24"/>
        </w:rPr>
      </w:pPr>
      <w:r w:rsidRPr="00E44187">
        <w:rPr>
          <w:rFonts w:ascii="Aptos" w:hAnsi="Aptos"/>
          <w:b w:val="0"/>
          <w:color w:val="000000" w:themeColor="text1"/>
          <w:sz w:val="24"/>
          <w:szCs w:val="24"/>
        </w:rPr>
        <w:t>Priorities for improving data / localisation / trigger governance</w:t>
      </w:r>
    </w:p>
    <w:p w14:paraId="4B8E1627" w14:textId="77777777" w:rsidR="00252A3D" w:rsidRPr="00252A3D" w:rsidRDefault="00252A3D" w:rsidP="00C17720">
      <w:pPr>
        <w:pStyle w:val="Heading1"/>
        <w:numPr>
          <w:ilvl w:val="0"/>
          <w:numId w:val="11"/>
        </w:numPr>
        <w:spacing w:before="0"/>
        <w:rPr>
          <w:rFonts w:ascii="Aptos" w:hAnsi="Aptos" w:cs="Arial"/>
          <w:b w:val="0"/>
          <w:color w:val="auto"/>
          <w:sz w:val="24"/>
          <w:szCs w:val="24"/>
        </w:rPr>
      </w:pPr>
      <w:r w:rsidRPr="00252A3D">
        <w:rPr>
          <w:rFonts w:ascii="Aptos" w:hAnsi="Aptos" w:cs="Arial"/>
          <w:b w:val="0"/>
          <w:color w:val="auto"/>
          <w:sz w:val="24"/>
          <w:szCs w:val="24"/>
        </w:rPr>
        <w:t>need for AA to better serve hard-to-reach populations, with more inclusive and conflict-sensitive data collection</w:t>
      </w:r>
    </w:p>
    <w:p w14:paraId="611ED880" w14:textId="6A81A2E4" w:rsidR="00252A3D" w:rsidRPr="00252A3D" w:rsidRDefault="00252A3D" w:rsidP="00C17720">
      <w:pPr>
        <w:pStyle w:val="Heading1"/>
        <w:numPr>
          <w:ilvl w:val="0"/>
          <w:numId w:val="11"/>
        </w:numPr>
        <w:spacing w:before="0"/>
        <w:rPr>
          <w:rFonts w:ascii="Aptos" w:hAnsi="Aptos" w:cs="Arial"/>
          <w:b w:val="0"/>
          <w:color w:val="auto"/>
          <w:sz w:val="24"/>
          <w:szCs w:val="24"/>
        </w:rPr>
      </w:pPr>
      <w:r w:rsidRPr="00252A3D">
        <w:rPr>
          <w:rFonts w:ascii="Aptos" w:hAnsi="Aptos" w:cs="Arial"/>
          <w:b w:val="0"/>
          <w:color w:val="auto"/>
          <w:sz w:val="24"/>
          <w:szCs w:val="24"/>
        </w:rPr>
        <w:t>Embed protection-sensitive and conflict-sensitive analysis into forecasting and early action (SCALAA-linked learning).</w:t>
      </w:r>
    </w:p>
    <w:p w14:paraId="05990C5F" w14:textId="644C2CC7" w:rsidR="00637D5D" w:rsidRPr="00D24146" w:rsidRDefault="00252A3D" w:rsidP="00C17720">
      <w:pPr>
        <w:pStyle w:val="Heading1"/>
        <w:numPr>
          <w:ilvl w:val="0"/>
          <w:numId w:val="11"/>
        </w:numPr>
        <w:spacing w:before="0"/>
        <w:rPr>
          <w:rFonts w:ascii="Aptos" w:hAnsi="Aptos" w:cs="Arial"/>
          <w:b w:val="0"/>
          <w:color w:val="auto"/>
          <w:sz w:val="24"/>
          <w:szCs w:val="24"/>
        </w:rPr>
      </w:pPr>
      <w:r w:rsidRPr="00252A3D">
        <w:rPr>
          <w:rFonts w:ascii="Aptos" w:hAnsi="Aptos" w:cs="Arial"/>
          <w:b w:val="0"/>
          <w:color w:val="auto"/>
          <w:sz w:val="24"/>
          <w:szCs w:val="24"/>
        </w:rPr>
        <w:t>Operationalise ICA insights into country-level AA pilot design</w:t>
      </w:r>
    </w:p>
    <w:p w14:paraId="50A399D7" w14:textId="19D6DB4D" w:rsidR="00C6726A" w:rsidRPr="00C6726A" w:rsidRDefault="00C6726A" w:rsidP="00C6726A">
      <w:pPr>
        <w:pStyle w:val="Heading1"/>
        <w:spacing w:before="0"/>
        <w:rPr>
          <w:rFonts w:ascii="Aptos" w:hAnsi="Aptos"/>
          <w:color w:val="000000" w:themeColor="text1"/>
          <w:sz w:val="24"/>
          <w:szCs w:val="24"/>
        </w:rPr>
      </w:pPr>
      <w:r w:rsidRPr="00C6726A">
        <w:rPr>
          <w:rFonts w:ascii="Aptos" w:hAnsi="Aptos"/>
          <w:color w:val="000000" w:themeColor="text1"/>
          <w:sz w:val="24"/>
          <w:szCs w:val="24"/>
        </w:rPr>
        <w:t>2. Year in Review: Anticipatory Action at DRC (</w:t>
      </w:r>
      <w:r w:rsidR="003B6AB4">
        <w:rPr>
          <w:rFonts w:ascii="Aptos" w:hAnsi="Aptos"/>
          <w:color w:val="000000" w:themeColor="text1"/>
          <w:sz w:val="24"/>
          <w:szCs w:val="24"/>
        </w:rPr>
        <w:t xml:space="preserve">2 </w:t>
      </w:r>
      <w:r w:rsidRPr="00C6726A">
        <w:rPr>
          <w:rFonts w:ascii="Aptos" w:hAnsi="Aptos"/>
          <w:color w:val="000000" w:themeColor="text1"/>
          <w:sz w:val="24"/>
          <w:szCs w:val="24"/>
        </w:rPr>
        <w:t>page</w:t>
      </w:r>
      <w:r w:rsidR="003B6AB4">
        <w:rPr>
          <w:rFonts w:ascii="Aptos" w:hAnsi="Aptos"/>
          <w:color w:val="000000" w:themeColor="text1"/>
          <w:sz w:val="24"/>
          <w:szCs w:val="24"/>
        </w:rPr>
        <w:t>s</w:t>
      </w:r>
      <w:r w:rsidRPr="00C6726A">
        <w:rPr>
          <w:rFonts w:ascii="Aptos" w:hAnsi="Aptos"/>
          <w:color w:val="000000" w:themeColor="text1"/>
          <w:sz w:val="24"/>
          <w:szCs w:val="24"/>
        </w:rPr>
        <w:t>)</w:t>
      </w:r>
    </w:p>
    <w:p w14:paraId="6A282777" w14:textId="77777777" w:rsidR="00C6726A" w:rsidRPr="00C6726A" w:rsidRDefault="00C6726A" w:rsidP="00C6726A">
      <w:pPr>
        <w:pStyle w:val="Heading1"/>
        <w:spacing w:before="0"/>
        <w:rPr>
          <w:rFonts w:ascii="Aptos" w:hAnsi="Aptos"/>
          <w:b w:val="0"/>
          <w:color w:val="000000" w:themeColor="text1"/>
          <w:sz w:val="24"/>
          <w:szCs w:val="24"/>
        </w:rPr>
      </w:pPr>
      <w:r w:rsidRPr="00C6726A">
        <w:rPr>
          <w:rFonts w:ascii="Aptos" w:hAnsi="Aptos"/>
          <w:b w:val="0"/>
          <w:color w:val="000000" w:themeColor="text1"/>
          <w:sz w:val="24"/>
          <w:szCs w:val="24"/>
        </w:rPr>
        <w:t>2.1 How displacement risk evolved in 2025</w:t>
      </w:r>
    </w:p>
    <w:p w14:paraId="217EE22A" w14:textId="644EAF61" w:rsidR="00C6726A" w:rsidRPr="00C6726A" w:rsidRDefault="00C6726A" w:rsidP="00C6726A">
      <w:pPr>
        <w:pStyle w:val="Heading1"/>
        <w:spacing w:before="0"/>
        <w:rPr>
          <w:rFonts w:ascii="Aptos" w:hAnsi="Aptos"/>
          <w:b w:val="0"/>
          <w:color w:val="000000" w:themeColor="text1"/>
          <w:sz w:val="24"/>
          <w:szCs w:val="24"/>
        </w:rPr>
      </w:pPr>
      <w:r w:rsidRPr="00C6726A">
        <w:rPr>
          <w:rFonts w:ascii="Aptos" w:hAnsi="Aptos"/>
          <w:b w:val="0"/>
          <w:color w:val="000000" w:themeColor="text1"/>
          <w:sz w:val="24"/>
          <w:szCs w:val="24"/>
        </w:rPr>
        <w:t>Build</w:t>
      </w:r>
      <w:r w:rsidR="0081676B">
        <w:rPr>
          <w:rFonts w:ascii="Aptos" w:hAnsi="Aptos"/>
          <w:b w:val="0"/>
          <w:color w:val="000000" w:themeColor="text1"/>
          <w:sz w:val="24"/>
          <w:szCs w:val="24"/>
        </w:rPr>
        <w:t xml:space="preserve">ing </w:t>
      </w:r>
      <w:r w:rsidRPr="00C6726A">
        <w:rPr>
          <w:rFonts w:ascii="Aptos" w:hAnsi="Aptos"/>
          <w:b w:val="0"/>
          <w:color w:val="000000" w:themeColor="text1"/>
          <w:sz w:val="24"/>
          <w:szCs w:val="24"/>
        </w:rPr>
        <w:t>on Monthly Forecast Snapshots (introduced in Newsletter #1) and map</w:t>
      </w:r>
      <w:r w:rsidR="00975557">
        <w:rPr>
          <w:rFonts w:ascii="Aptos" w:hAnsi="Aptos"/>
          <w:b w:val="0"/>
          <w:color w:val="000000" w:themeColor="text1"/>
          <w:sz w:val="24"/>
          <w:szCs w:val="24"/>
        </w:rPr>
        <w:t xml:space="preserve">ping </w:t>
      </w:r>
      <w:r w:rsidRPr="00C6726A">
        <w:rPr>
          <w:rFonts w:ascii="Aptos" w:hAnsi="Aptos"/>
          <w:b w:val="0"/>
          <w:color w:val="000000" w:themeColor="text1"/>
          <w:sz w:val="24"/>
          <w:szCs w:val="24"/>
        </w:rPr>
        <w:t>how early-year vs late-year forecasts changed.</w:t>
      </w:r>
    </w:p>
    <w:p w14:paraId="5C8FBB32" w14:textId="77777777" w:rsidR="00C6726A" w:rsidRPr="00C6726A" w:rsidRDefault="00C6726A" w:rsidP="00C17720">
      <w:pPr>
        <w:pStyle w:val="Heading1"/>
        <w:numPr>
          <w:ilvl w:val="0"/>
          <w:numId w:val="14"/>
        </w:numPr>
        <w:spacing w:before="0"/>
        <w:rPr>
          <w:rFonts w:ascii="Aptos" w:hAnsi="Aptos"/>
          <w:b w:val="0"/>
          <w:color w:val="000000" w:themeColor="text1"/>
          <w:sz w:val="24"/>
          <w:szCs w:val="24"/>
        </w:rPr>
      </w:pPr>
      <w:r w:rsidRPr="00C6726A">
        <w:rPr>
          <w:rFonts w:ascii="Aptos" w:hAnsi="Aptos"/>
          <w:b w:val="0"/>
          <w:color w:val="000000" w:themeColor="text1"/>
          <w:sz w:val="24"/>
          <w:szCs w:val="24"/>
        </w:rPr>
        <w:t xml:space="preserve">Rising displacement hotspots (Sudan, Myanmar, Somalia) </w:t>
      </w:r>
    </w:p>
    <w:p w14:paraId="110D63DB" w14:textId="77777777" w:rsidR="00C6726A" w:rsidRPr="00C6726A" w:rsidRDefault="00C6726A" w:rsidP="00C17720">
      <w:pPr>
        <w:pStyle w:val="Heading1"/>
        <w:numPr>
          <w:ilvl w:val="0"/>
          <w:numId w:val="14"/>
        </w:numPr>
        <w:spacing w:before="0"/>
        <w:rPr>
          <w:rFonts w:ascii="Aptos" w:hAnsi="Aptos"/>
          <w:b w:val="0"/>
          <w:color w:val="000000" w:themeColor="text1"/>
          <w:sz w:val="24"/>
          <w:szCs w:val="24"/>
        </w:rPr>
      </w:pPr>
      <w:r w:rsidRPr="00C6726A">
        <w:rPr>
          <w:rFonts w:ascii="Aptos" w:hAnsi="Aptos"/>
          <w:b w:val="0"/>
          <w:color w:val="000000" w:themeColor="text1"/>
          <w:sz w:val="24"/>
          <w:szCs w:val="24"/>
        </w:rPr>
        <w:t>Geopolitical risk + climate interactions</w:t>
      </w:r>
    </w:p>
    <w:p w14:paraId="49BC713F" w14:textId="77777777" w:rsidR="00C6726A" w:rsidRPr="00C6726A" w:rsidRDefault="00C6726A" w:rsidP="00C17720">
      <w:pPr>
        <w:pStyle w:val="Heading1"/>
        <w:numPr>
          <w:ilvl w:val="0"/>
          <w:numId w:val="14"/>
        </w:numPr>
        <w:spacing w:before="0"/>
        <w:rPr>
          <w:rFonts w:ascii="Aptos" w:hAnsi="Aptos"/>
          <w:b w:val="0"/>
          <w:color w:val="000000" w:themeColor="text1"/>
          <w:sz w:val="24"/>
          <w:szCs w:val="24"/>
        </w:rPr>
      </w:pPr>
      <w:r w:rsidRPr="00C6726A">
        <w:rPr>
          <w:rFonts w:ascii="Aptos" w:hAnsi="Aptos"/>
          <w:b w:val="0"/>
          <w:color w:val="000000" w:themeColor="text1"/>
          <w:sz w:val="24"/>
          <w:szCs w:val="24"/>
        </w:rPr>
        <w:t>Any forecast surprises, model behaviour change</w:t>
      </w:r>
    </w:p>
    <w:p w14:paraId="5D514990" w14:textId="77777777" w:rsidR="00C6726A" w:rsidRPr="00C6726A" w:rsidRDefault="00C6726A" w:rsidP="00C6726A">
      <w:pPr>
        <w:pStyle w:val="Heading1"/>
        <w:spacing w:before="0"/>
        <w:rPr>
          <w:rFonts w:ascii="Aptos" w:hAnsi="Aptos"/>
          <w:b w:val="0"/>
          <w:color w:val="000000" w:themeColor="text1"/>
          <w:sz w:val="24"/>
          <w:szCs w:val="24"/>
        </w:rPr>
      </w:pPr>
      <w:r w:rsidRPr="00C6726A">
        <w:rPr>
          <w:rFonts w:ascii="Aptos" w:hAnsi="Aptos"/>
          <w:b w:val="0"/>
          <w:color w:val="000000" w:themeColor="text1"/>
          <w:sz w:val="24"/>
          <w:szCs w:val="24"/>
        </w:rPr>
        <w:t>2.2 How DRC’s forecasting ecosystem matured</w:t>
      </w:r>
    </w:p>
    <w:p w14:paraId="54409294" w14:textId="77777777" w:rsidR="00C6726A" w:rsidRPr="00C6726A" w:rsidRDefault="00C6726A" w:rsidP="00C17720">
      <w:pPr>
        <w:pStyle w:val="Heading1"/>
        <w:numPr>
          <w:ilvl w:val="0"/>
          <w:numId w:val="15"/>
        </w:numPr>
        <w:spacing w:before="0"/>
        <w:rPr>
          <w:rFonts w:ascii="Aptos" w:hAnsi="Aptos"/>
          <w:b w:val="0"/>
          <w:color w:val="000000" w:themeColor="text1"/>
          <w:sz w:val="24"/>
          <w:szCs w:val="24"/>
        </w:rPr>
      </w:pPr>
      <w:r w:rsidRPr="00C6726A">
        <w:rPr>
          <w:rFonts w:ascii="Aptos" w:hAnsi="Aptos"/>
          <w:b w:val="0"/>
          <w:color w:val="000000" w:themeColor="text1"/>
          <w:sz w:val="24"/>
          <w:szCs w:val="24"/>
        </w:rPr>
        <w:t>Expansion of AHEAD coverage</w:t>
      </w:r>
    </w:p>
    <w:p w14:paraId="4C440BE9" w14:textId="77777777" w:rsidR="00C6726A" w:rsidRPr="00C6726A" w:rsidRDefault="00C6726A" w:rsidP="00C17720">
      <w:pPr>
        <w:pStyle w:val="Heading1"/>
        <w:numPr>
          <w:ilvl w:val="0"/>
          <w:numId w:val="15"/>
        </w:numPr>
        <w:spacing w:before="0"/>
        <w:rPr>
          <w:rFonts w:ascii="Aptos" w:hAnsi="Aptos"/>
          <w:b w:val="0"/>
          <w:color w:val="000000" w:themeColor="text1"/>
          <w:sz w:val="24"/>
          <w:szCs w:val="24"/>
        </w:rPr>
      </w:pPr>
      <w:r w:rsidRPr="00C6726A">
        <w:rPr>
          <w:rFonts w:ascii="Aptos" w:hAnsi="Aptos"/>
          <w:b w:val="0"/>
          <w:color w:val="000000" w:themeColor="text1"/>
          <w:sz w:val="24"/>
          <w:szCs w:val="24"/>
        </w:rPr>
        <w:t xml:space="preserve">ICA integration into model refinement (Newsletter #2 context) </w:t>
      </w:r>
    </w:p>
    <w:p w14:paraId="6989C2CF" w14:textId="77777777" w:rsidR="00C6726A" w:rsidRPr="00C6726A" w:rsidRDefault="00C6726A" w:rsidP="00C17720">
      <w:pPr>
        <w:pStyle w:val="Heading1"/>
        <w:numPr>
          <w:ilvl w:val="0"/>
          <w:numId w:val="15"/>
        </w:numPr>
        <w:spacing w:before="0"/>
        <w:rPr>
          <w:rFonts w:ascii="Aptos" w:hAnsi="Aptos"/>
          <w:b w:val="0"/>
          <w:color w:val="000000" w:themeColor="text1"/>
          <w:sz w:val="24"/>
          <w:szCs w:val="24"/>
        </w:rPr>
      </w:pPr>
      <w:r w:rsidRPr="00C6726A">
        <w:rPr>
          <w:rFonts w:ascii="Aptos" w:hAnsi="Aptos"/>
          <w:b w:val="0"/>
          <w:color w:val="000000" w:themeColor="text1"/>
          <w:sz w:val="24"/>
          <w:szCs w:val="24"/>
        </w:rPr>
        <w:t>Community early warning + qualitative inputs</w:t>
      </w:r>
    </w:p>
    <w:p w14:paraId="65035EE1" w14:textId="77777777" w:rsidR="00C6726A" w:rsidRPr="00C6726A" w:rsidRDefault="00C6726A" w:rsidP="00C17720">
      <w:pPr>
        <w:pStyle w:val="Heading1"/>
        <w:numPr>
          <w:ilvl w:val="0"/>
          <w:numId w:val="15"/>
        </w:numPr>
        <w:spacing w:before="0"/>
        <w:rPr>
          <w:rFonts w:ascii="Aptos" w:hAnsi="Aptos"/>
          <w:b w:val="0"/>
          <w:color w:val="000000" w:themeColor="text1"/>
          <w:sz w:val="24"/>
          <w:szCs w:val="24"/>
        </w:rPr>
      </w:pPr>
      <w:r w:rsidRPr="00C6726A">
        <w:rPr>
          <w:rFonts w:ascii="Aptos" w:hAnsi="Aptos"/>
          <w:b w:val="0"/>
          <w:color w:val="000000" w:themeColor="text1"/>
          <w:sz w:val="24"/>
          <w:szCs w:val="24"/>
        </w:rPr>
        <w:t>Trigger refinement</w:t>
      </w:r>
    </w:p>
    <w:p w14:paraId="2CAF88CB" w14:textId="1AD90CFB" w:rsidR="00D24146" w:rsidRPr="00D24146" w:rsidRDefault="00C6726A" w:rsidP="00C17720">
      <w:pPr>
        <w:pStyle w:val="Heading1"/>
        <w:numPr>
          <w:ilvl w:val="0"/>
          <w:numId w:val="15"/>
        </w:numPr>
        <w:spacing w:before="0"/>
        <w:rPr>
          <w:rFonts w:ascii="Aptos" w:hAnsi="Aptos"/>
          <w:b w:val="0"/>
          <w:color w:val="000000" w:themeColor="text1"/>
          <w:sz w:val="24"/>
          <w:szCs w:val="24"/>
        </w:rPr>
      </w:pPr>
      <w:r w:rsidRPr="00C6726A">
        <w:rPr>
          <w:rFonts w:ascii="Aptos" w:hAnsi="Aptos"/>
          <w:b w:val="0"/>
          <w:color w:val="000000" w:themeColor="text1"/>
          <w:sz w:val="24"/>
          <w:szCs w:val="24"/>
        </w:rPr>
        <w:lastRenderedPageBreak/>
        <w:t xml:space="preserve">Forecast snapshots launched (Newsletter #1) </w:t>
      </w:r>
    </w:p>
    <w:p w14:paraId="47A10F51" w14:textId="767FDF0D" w:rsidR="00FE6856" w:rsidRDefault="001331BD" w:rsidP="00FE6856">
      <w:pPr>
        <w:spacing w:after="0"/>
        <w:rPr>
          <w:rFonts w:ascii="Aptos" w:hAnsi="Aptos"/>
          <w:b/>
          <w:color w:val="000000" w:themeColor="text1"/>
          <w:sz w:val="24"/>
          <w:szCs w:val="24"/>
        </w:rPr>
      </w:pPr>
      <w:r>
        <w:rPr>
          <w:rFonts w:ascii="Aptos" w:hAnsi="Aptos"/>
          <w:b/>
          <w:sz w:val="24"/>
          <w:szCs w:val="24"/>
        </w:rPr>
        <w:t>3</w:t>
      </w:r>
      <w:r w:rsidR="00FE6856" w:rsidRPr="00FE6856">
        <w:rPr>
          <w:rFonts w:ascii="Aptos" w:hAnsi="Aptos"/>
          <w:b/>
          <w:sz w:val="24"/>
          <w:szCs w:val="24"/>
        </w:rPr>
        <w:t xml:space="preserve">. </w:t>
      </w:r>
      <w:r w:rsidR="00FE6856" w:rsidRPr="00FE6856">
        <w:rPr>
          <w:rFonts w:ascii="Aptos" w:hAnsi="Aptos"/>
          <w:b/>
          <w:color w:val="000000" w:themeColor="text1"/>
          <w:sz w:val="24"/>
          <w:szCs w:val="24"/>
        </w:rPr>
        <w:t>Country Profiles: Highlights from Across AHEAD Countries (</w:t>
      </w:r>
      <w:r w:rsidR="005A40ED">
        <w:rPr>
          <w:rFonts w:ascii="Aptos" w:hAnsi="Aptos"/>
          <w:b/>
          <w:color w:val="000000" w:themeColor="text1"/>
          <w:sz w:val="24"/>
          <w:szCs w:val="24"/>
        </w:rPr>
        <w:t>3</w:t>
      </w:r>
      <w:r w:rsidR="00FE6856" w:rsidRPr="00FE6856">
        <w:rPr>
          <w:rFonts w:ascii="Aptos" w:hAnsi="Aptos"/>
          <w:b/>
          <w:color w:val="000000" w:themeColor="text1"/>
          <w:sz w:val="24"/>
          <w:szCs w:val="24"/>
        </w:rPr>
        <w:t xml:space="preserve"> pages)</w:t>
      </w:r>
    </w:p>
    <w:p w14:paraId="2F87A5EB" w14:textId="77777777" w:rsidR="005A40ED" w:rsidRPr="005A40ED" w:rsidRDefault="005A40ED" w:rsidP="005A40ED">
      <w:pPr>
        <w:spacing w:after="0"/>
        <w:rPr>
          <w:rFonts w:ascii="Aptos" w:hAnsi="Aptos"/>
          <w:sz w:val="24"/>
          <w:szCs w:val="24"/>
        </w:rPr>
      </w:pPr>
      <w:r w:rsidRPr="005A40ED">
        <w:rPr>
          <w:rFonts w:ascii="Aptos" w:hAnsi="Aptos"/>
          <w:sz w:val="24"/>
          <w:szCs w:val="24"/>
        </w:rPr>
        <w:t>Structure for each country:</w:t>
      </w:r>
    </w:p>
    <w:p w14:paraId="01F4F181" w14:textId="77777777" w:rsidR="005A40ED" w:rsidRPr="005A40ED" w:rsidRDefault="005A40ED" w:rsidP="00C17720">
      <w:pPr>
        <w:numPr>
          <w:ilvl w:val="0"/>
          <w:numId w:val="19"/>
        </w:numPr>
        <w:spacing w:after="0"/>
        <w:rPr>
          <w:rFonts w:ascii="Aptos" w:hAnsi="Aptos"/>
          <w:sz w:val="24"/>
          <w:szCs w:val="24"/>
        </w:rPr>
      </w:pPr>
      <w:r w:rsidRPr="005A40ED">
        <w:rPr>
          <w:rFonts w:ascii="Aptos" w:hAnsi="Aptos"/>
          <w:sz w:val="24"/>
          <w:szCs w:val="24"/>
        </w:rPr>
        <w:t>Forecasting developments (monthly snapshots)</w:t>
      </w:r>
    </w:p>
    <w:p w14:paraId="2CE1A021" w14:textId="77777777" w:rsidR="005A40ED" w:rsidRPr="005A40ED" w:rsidRDefault="005A40ED" w:rsidP="00C17720">
      <w:pPr>
        <w:numPr>
          <w:ilvl w:val="0"/>
          <w:numId w:val="19"/>
        </w:numPr>
        <w:spacing w:after="0"/>
        <w:rPr>
          <w:rFonts w:ascii="Aptos" w:hAnsi="Aptos"/>
          <w:sz w:val="24"/>
          <w:szCs w:val="24"/>
        </w:rPr>
      </w:pPr>
      <w:r w:rsidRPr="005A40ED">
        <w:rPr>
          <w:rFonts w:ascii="Aptos" w:hAnsi="Aptos"/>
          <w:sz w:val="24"/>
          <w:szCs w:val="24"/>
        </w:rPr>
        <w:t>Operational pilots or activations</w:t>
      </w:r>
    </w:p>
    <w:p w14:paraId="66C8E9A8" w14:textId="77777777" w:rsidR="005A40ED" w:rsidRPr="005A40ED" w:rsidRDefault="005A40ED" w:rsidP="00C17720">
      <w:pPr>
        <w:numPr>
          <w:ilvl w:val="0"/>
          <w:numId w:val="19"/>
        </w:numPr>
        <w:spacing w:after="0"/>
        <w:rPr>
          <w:rFonts w:ascii="Aptos" w:hAnsi="Aptos"/>
          <w:sz w:val="24"/>
          <w:szCs w:val="24"/>
        </w:rPr>
      </w:pPr>
      <w:r w:rsidRPr="005A40ED">
        <w:rPr>
          <w:rFonts w:ascii="Aptos" w:hAnsi="Aptos"/>
          <w:sz w:val="24"/>
          <w:szCs w:val="24"/>
        </w:rPr>
        <w:t>ICA insights</w:t>
      </w:r>
    </w:p>
    <w:p w14:paraId="44B8B071" w14:textId="77777777" w:rsidR="005A40ED" w:rsidRPr="005A40ED" w:rsidRDefault="005A40ED" w:rsidP="00C17720">
      <w:pPr>
        <w:numPr>
          <w:ilvl w:val="0"/>
          <w:numId w:val="19"/>
        </w:numPr>
        <w:spacing w:after="0"/>
        <w:rPr>
          <w:rFonts w:ascii="Aptos" w:hAnsi="Aptos"/>
          <w:sz w:val="24"/>
          <w:szCs w:val="24"/>
        </w:rPr>
      </w:pPr>
      <w:r w:rsidRPr="005A40ED">
        <w:rPr>
          <w:rFonts w:ascii="Aptos" w:hAnsi="Aptos"/>
          <w:sz w:val="24"/>
          <w:szCs w:val="24"/>
        </w:rPr>
        <w:t>Community-led mechanisms</w:t>
      </w:r>
    </w:p>
    <w:p w14:paraId="7C55B3CB" w14:textId="77777777" w:rsidR="005A40ED" w:rsidRPr="005A40ED" w:rsidRDefault="005A40ED" w:rsidP="00C17720">
      <w:pPr>
        <w:numPr>
          <w:ilvl w:val="0"/>
          <w:numId w:val="19"/>
        </w:numPr>
        <w:spacing w:after="0"/>
        <w:rPr>
          <w:rFonts w:ascii="Aptos" w:hAnsi="Aptos"/>
          <w:sz w:val="24"/>
          <w:szCs w:val="24"/>
        </w:rPr>
      </w:pPr>
      <w:r w:rsidRPr="005A40ED">
        <w:rPr>
          <w:rFonts w:ascii="Aptos" w:hAnsi="Aptos"/>
          <w:sz w:val="24"/>
          <w:szCs w:val="24"/>
        </w:rPr>
        <w:t>Early programmatic outcomes</w:t>
      </w:r>
    </w:p>
    <w:p w14:paraId="0F2DA1DB" w14:textId="4868A163" w:rsidR="00FE6856" w:rsidRPr="001331BD" w:rsidRDefault="005A40ED" w:rsidP="00105750">
      <w:pPr>
        <w:numPr>
          <w:ilvl w:val="0"/>
          <w:numId w:val="19"/>
        </w:numPr>
        <w:spacing w:after="0"/>
        <w:rPr>
          <w:rFonts w:ascii="Aptos" w:hAnsi="Aptos"/>
          <w:sz w:val="24"/>
          <w:szCs w:val="24"/>
        </w:rPr>
      </w:pPr>
      <w:r w:rsidRPr="005A40ED">
        <w:rPr>
          <w:rFonts w:ascii="Aptos" w:hAnsi="Aptos"/>
          <w:sz w:val="24"/>
          <w:szCs w:val="24"/>
        </w:rPr>
        <w:t>2026 priorities</w:t>
      </w:r>
    </w:p>
    <w:p w14:paraId="33D8CD44" w14:textId="01D91226" w:rsidR="0019776F" w:rsidRDefault="001331BD" w:rsidP="00F56909">
      <w:pPr>
        <w:pStyle w:val="Heading1"/>
        <w:spacing w:before="0"/>
        <w:rPr>
          <w:rFonts w:ascii="Aptos" w:hAnsi="Aptos"/>
          <w:color w:val="000000" w:themeColor="text1"/>
          <w:sz w:val="24"/>
          <w:szCs w:val="24"/>
        </w:rPr>
      </w:pPr>
      <w:r w:rsidRPr="2CFF8CCD">
        <w:rPr>
          <w:rFonts w:ascii="Aptos" w:hAnsi="Aptos"/>
          <w:color w:val="000000" w:themeColor="text1"/>
          <w:sz w:val="24"/>
          <w:szCs w:val="24"/>
        </w:rPr>
        <w:t>4</w:t>
      </w:r>
      <w:r w:rsidR="006332CF" w:rsidRPr="2CFF8CCD">
        <w:rPr>
          <w:rFonts w:ascii="Aptos" w:hAnsi="Aptos"/>
          <w:color w:val="000000" w:themeColor="text1"/>
          <w:sz w:val="24"/>
          <w:szCs w:val="24"/>
        </w:rPr>
        <w:t>. Integrated Context Analysis (ICA)</w:t>
      </w:r>
    </w:p>
    <w:p w14:paraId="5E4936CC" w14:textId="4C52D34D" w:rsidR="00C4076C" w:rsidRPr="00C4076C" w:rsidRDefault="001331BD" w:rsidP="00C4076C">
      <w:pPr>
        <w:spacing w:after="0" w:line="240" w:lineRule="auto"/>
        <w:rPr>
          <w:rFonts w:ascii="Aptos" w:hAnsi="Aptos"/>
          <w:b/>
        </w:rPr>
      </w:pPr>
      <w:r>
        <w:rPr>
          <w:rFonts w:ascii="Aptos" w:hAnsi="Aptos"/>
          <w:b/>
        </w:rPr>
        <w:t>4</w:t>
      </w:r>
      <w:r w:rsidR="00C4076C">
        <w:rPr>
          <w:rFonts w:ascii="Aptos" w:hAnsi="Aptos"/>
          <w:b/>
        </w:rPr>
        <w:t xml:space="preserve">.1 </w:t>
      </w:r>
      <w:r w:rsidR="00C4076C" w:rsidRPr="00C4076C">
        <w:rPr>
          <w:rFonts w:ascii="Aptos" w:hAnsi="Aptos"/>
          <w:b/>
        </w:rPr>
        <w:t>Cross-country insights</w:t>
      </w:r>
    </w:p>
    <w:p w14:paraId="39C821C7" w14:textId="77777777" w:rsidR="00C4076C" w:rsidRPr="00C4076C" w:rsidRDefault="00C4076C" w:rsidP="00C17720">
      <w:pPr>
        <w:numPr>
          <w:ilvl w:val="0"/>
          <w:numId w:val="20"/>
        </w:numPr>
        <w:spacing w:after="0" w:line="240" w:lineRule="auto"/>
        <w:rPr>
          <w:rFonts w:ascii="Aptos" w:hAnsi="Aptos"/>
        </w:rPr>
      </w:pPr>
      <w:r w:rsidRPr="00C4076C">
        <w:rPr>
          <w:rFonts w:ascii="Aptos" w:hAnsi="Aptos"/>
        </w:rPr>
        <w:t>Elections as flashpoints</w:t>
      </w:r>
    </w:p>
    <w:p w14:paraId="4DC497D3" w14:textId="77777777" w:rsidR="00C4076C" w:rsidRPr="00C4076C" w:rsidRDefault="00C4076C" w:rsidP="00C17720">
      <w:pPr>
        <w:numPr>
          <w:ilvl w:val="0"/>
          <w:numId w:val="20"/>
        </w:numPr>
        <w:spacing w:after="0" w:line="240" w:lineRule="auto"/>
        <w:rPr>
          <w:rFonts w:ascii="Aptos" w:hAnsi="Aptos"/>
        </w:rPr>
      </w:pPr>
      <w:r w:rsidRPr="00C4076C">
        <w:rPr>
          <w:rFonts w:ascii="Aptos" w:hAnsi="Aptos"/>
        </w:rPr>
        <w:t>Land/resource competition</w:t>
      </w:r>
    </w:p>
    <w:p w14:paraId="0A014CE7" w14:textId="77777777" w:rsidR="00C4076C" w:rsidRPr="00C4076C" w:rsidRDefault="00C4076C" w:rsidP="00C17720">
      <w:pPr>
        <w:numPr>
          <w:ilvl w:val="0"/>
          <w:numId w:val="20"/>
        </w:numPr>
        <w:spacing w:after="0" w:line="240" w:lineRule="auto"/>
        <w:rPr>
          <w:rFonts w:ascii="Aptos" w:hAnsi="Aptos"/>
        </w:rPr>
      </w:pPr>
      <w:r w:rsidRPr="00C4076C">
        <w:rPr>
          <w:rFonts w:ascii="Aptos" w:hAnsi="Aptos"/>
        </w:rPr>
        <w:t>Diaspora influence (positive/negative)</w:t>
      </w:r>
    </w:p>
    <w:p w14:paraId="6EEFE5D3" w14:textId="77777777" w:rsidR="00C4076C" w:rsidRPr="00C4076C" w:rsidRDefault="00C4076C" w:rsidP="00C17720">
      <w:pPr>
        <w:numPr>
          <w:ilvl w:val="0"/>
          <w:numId w:val="20"/>
        </w:numPr>
        <w:spacing w:after="0" w:line="240" w:lineRule="auto"/>
        <w:rPr>
          <w:rFonts w:ascii="Aptos" w:hAnsi="Aptos"/>
        </w:rPr>
      </w:pPr>
      <w:r w:rsidRPr="00C4076C">
        <w:rPr>
          <w:rFonts w:ascii="Aptos" w:hAnsi="Aptos"/>
        </w:rPr>
        <w:t>Risks of GBV &amp; family separation</w:t>
      </w:r>
    </w:p>
    <w:p w14:paraId="0450BA6E" w14:textId="77777777" w:rsidR="00C4076C" w:rsidRPr="00C4076C" w:rsidRDefault="00C4076C" w:rsidP="00C17720">
      <w:pPr>
        <w:numPr>
          <w:ilvl w:val="0"/>
          <w:numId w:val="20"/>
        </w:numPr>
        <w:spacing w:after="0" w:line="240" w:lineRule="auto"/>
        <w:rPr>
          <w:rFonts w:ascii="Aptos" w:hAnsi="Aptos"/>
        </w:rPr>
      </w:pPr>
      <w:r w:rsidRPr="00C4076C">
        <w:rPr>
          <w:rFonts w:ascii="Aptos" w:hAnsi="Aptos"/>
        </w:rPr>
        <w:t>Weaknesses/gaps in national systems</w:t>
      </w:r>
    </w:p>
    <w:p w14:paraId="280CBB4B" w14:textId="10DC26FF" w:rsidR="00C4076C" w:rsidRPr="00C4076C" w:rsidRDefault="001331BD" w:rsidP="00C4076C">
      <w:pPr>
        <w:spacing w:after="0" w:line="240" w:lineRule="auto"/>
        <w:rPr>
          <w:rFonts w:ascii="Aptos" w:hAnsi="Aptos"/>
          <w:b/>
        </w:rPr>
      </w:pPr>
      <w:r>
        <w:rPr>
          <w:rFonts w:ascii="Aptos" w:hAnsi="Aptos"/>
          <w:b/>
        </w:rPr>
        <w:t>4</w:t>
      </w:r>
      <w:r w:rsidR="00C4076C" w:rsidRPr="00C4076C">
        <w:rPr>
          <w:rFonts w:ascii="Aptos" w:hAnsi="Aptos"/>
          <w:b/>
        </w:rPr>
        <w:t>.2 Implications for AA Design</w:t>
      </w:r>
    </w:p>
    <w:p w14:paraId="0B7A01F8" w14:textId="77777777" w:rsidR="00C4076C" w:rsidRPr="00C4076C" w:rsidRDefault="00C4076C" w:rsidP="00C17720">
      <w:pPr>
        <w:numPr>
          <w:ilvl w:val="0"/>
          <w:numId w:val="21"/>
        </w:numPr>
        <w:spacing w:after="0" w:line="240" w:lineRule="auto"/>
        <w:rPr>
          <w:rFonts w:ascii="Aptos" w:hAnsi="Aptos"/>
        </w:rPr>
      </w:pPr>
      <w:r w:rsidRPr="00C4076C">
        <w:rPr>
          <w:rFonts w:ascii="Aptos" w:hAnsi="Aptos"/>
        </w:rPr>
        <w:t>Conflict sensitivity</w:t>
      </w:r>
    </w:p>
    <w:p w14:paraId="62AA32C6" w14:textId="77777777" w:rsidR="00C4076C" w:rsidRPr="00C4076C" w:rsidRDefault="00C4076C" w:rsidP="00C17720">
      <w:pPr>
        <w:numPr>
          <w:ilvl w:val="0"/>
          <w:numId w:val="21"/>
        </w:numPr>
        <w:spacing w:after="0" w:line="240" w:lineRule="auto"/>
        <w:rPr>
          <w:rFonts w:ascii="Aptos" w:hAnsi="Aptos"/>
        </w:rPr>
      </w:pPr>
      <w:r w:rsidRPr="00C4076C">
        <w:rPr>
          <w:rFonts w:ascii="Aptos" w:hAnsi="Aptos"/>
        </w:rPr>
        <w:t>Early warning actors (elders, local groups)</w:t>
      </w:r>
    </w:p>
    <w:p w14:paraId="366AD229" w14:textId="77777777" w:rsidR="00C4076C" w:rsidRPr="00C4076C" w:rsidRDefault="00C4076C" w:rsidP="00C17720">
      <w:pPr>
        <w:numPr>
          <w:ilvl w:val="0"/>
          <w:numId w:val="21"/>
        </w:numPr>
        <w:spacing w:after="0" w:line="240" w:lineRule="auto"/>
        <w:rPr>
          <w:rFonts w:ascii="Aptos" w:hAnsi="Aptos"/>
        </w:rPr>
      </w:pPr>
      <w:r w:rsidRPr="00C4076C">
        <w:rPr>
          <w:rFonts w:ascii="Aptos" w:hAnsi="Aptos"/>
        </w:rPr>
        <w:t>Link to national systems</w:t>
      </w:r>
    </w:p>
    <w:p w14:paraId="3B0D4EE1" w14:textId="77777777" w:rsidR="00C4076C" w:rsidRPr="00C4076C" w:rsidRDefault="00C4076C" w:rsidP="00C17720">
      <w:pPr>
        <w:numPr>
          <w:ilvl w:val="0"/>
          <w:numId w:val="21"/>
        </w:numPr>
        <w:spacing w:after="0" w:line="240" w:lineRule="auto"/>
        <w:rPr>
          <w:rFonts w:ascii="Aptos" w:hAnsi="Aptos"/>
        </w:rPr>
      </w:pPr>
      <w:r w:rsidRPr="00C4076C">
        <w:rPr>
          <w:rFonts w:ascii="Aptos" w:hAnsi="Aptos"/>
        </w:rPr>
        <w:t>Trigger design implications</w:t>
      </w:r>
    </w:p>
    <w:p w14:paraId="0897DB5E" w14:textId="2CB22580" w:rsidR="00C4076C" w:rsidRPr="00C4076C" w:rsidRDefault="001331BD" w:rsidP="00C4076C">
      <w:pPr>
        <w:spacing w:after="0" w:line="240" w:lineRule="auto"/>
        <w:rPr>
          <w:rFonts w:ascii="Aptos" w:hAnsi="Aptos"/>
          <w:b/>
        </w:rPr>
      </w:pPr>
      <w:r>
        <w:rPr>
          <w:rFonts w:ascii="Aptos" w:hAnsi="Aptos"/>
          <w:b/>
        </w:rPr>
        <w:t>4</w:t>
      </w:r>
      <w:r w:rsidR="00C4076C" w:rsidRPr="00C4076C">
        <w:rPr>
          <w:rFonts w:ascii="Aptos" w:hAnsi="Aptos"/>
          <w:b/>
        </w:rPr>
        <w:t>.3 Integration into 2026</w:t>
      </w:r>
    </w:p>
    <w:p w14:paraId="44C75F85" w14:textId="77777777" w:rsidR="00C4076C" w:rsidRDefault="00C4076C" w:rsidP="00C4076C">
      <w:pPr>
        <w:spacing w:after="0" w:line="240" w:lineRule="auto"/>
        <w:rPr>
          <w:rFonts w:ascii="Aptos" w:hAnsi="Aptos"/>
        </w:rPr>
      </w:pPr>
      <w:r w:rsidRPr="00C4076C">
        <w:rPr>
          <w:rFonts w:ascii="Aptos" w:hAnsi="Aptos"/>
        </w:rPr>
        <w:t>Placeholder for when final ICA is out.</w:t>
      </w:r>
    </w:p>
    <w:p w14:paraId="57A3F471" w14:textId="77777777" w:rsidR="00CB5E3A" w:rsidRPr="00C4076C" w:rsidRDefault="00CB5E3A" w:rsidP="00C4076C">
      <w:pPr>
        <w:spacing w:after="0" w:line="240" w:lineRule="auto"/>
        <w:rPr>
          <w:rFonts w:ascii="Aptos" w:hAnsi="Aptos"/>
        </w:rPr>
      </w:pPr>
    </w:p>
    <w:p w14:paraId="40AB5339" w14:textId="49AD5BB2" w:rsidR="00033C3B" w:rsidRPr="001331BD" w:rsidRDefault="001331BD" w:rsidP="2CFF8CCD">
      <w:pPr>
        <w:tabs>
          <w:tab w:val="num" w:pos="720"/>
        </w:tabs>
        <w:spacing w:after="0"/>
        <w:rPr>
          <w:rFonts w:ascii="Aptos" w:hAnsi="Aptos"/>
          <w:b/>
          <w:bCs/>
          <w:sz w:val="24"/>
          <w:szCs w:val="24"/>
        </w:rPr>
      </w:pPr>
      <w:r w:rsidRPr="2CFF8CCD">
        <w:rPr>
          <w:rFonts w:ascii="Aptos" w:hAnsi="Aptos"/>
          <w:b/>
          <w:bCs/>
          <w:sz w:val="24"/>
          <w:szCs w:val="24"/>
        </w:rPr>
        <w:t>5</w:t>
      </w:r>
      <w:r w:rsidR="00CB5E3A" w:rsidRPr="2CFF8CCD">
        <w:rPr>
          <w:rFonts w:ascii="Aptos" w:hAnsi="Aptos"/>
          <w:b/>
          <w:bCs/>
          <w:sz w:val="24"/>
          <w:szCs w:val="24"/>
        </w:rPr>
        <w:t xml:space="preserve">. Challenges &amp; Lessons Learned </w:t>
      </w:r>
    </w:p>
    <w:p w14:paraId="30439C86" w14:textId="081C4C64" w:rsidR="00CB5E3A" w:rsidRPr="00CB5E3A" w:rsidRDefault="00CB5E3A" w:rsidP="00033C3B">
      <w:pPr>
        <w:tabs>
          <w:tab w:val="num" w:pos="720"/>
        </w:tabs>
        <w:spacing w:after="0"/>
        <w:rPr>
          <w:rFonts w:ascii="Aptos" w:hAnsi="Aptos"/>
        </w:rPr>
      </w:pPr>
      <w:r w:rsidRPr="00CB5E3A">
        <w:rPr>
          <w:rFonts w:ascii="Aptos" w:hAnsi="Aptos"/>
        </w:rPr>
        <w:t>Access &amp; hard-to-reach complexities</w:t>
      </w:r>
    </w:p>
    <w:p w14:paraId="2CD89DF8" w14:textId="77777777" w:rsidR="00CB5E3A" w:rsidRPr="00CB5E3A" w:rsidRDefault="00CB5E3A" w:rsidP="00C17720">
      <w:pPr>
        <w:numPr>
          <w:ilvl w:val="0"/>
          <w:numId w:val="22"/>
        </w:numPr>
        <w:spacing w:after="0"/>
        <w:rPr>
          <w:rFonts w:ascii="Aptos" w:hAnsi="Aptos"/>
        </w:rPr>
      </w:pPr>
      <w:r w:rsidRPr="00CB5E3A">
        <w:rPr>
          <w:rFonts w:ascii="Aptos" w:hAnsi="Aptos"/>
        </w:rPr>
        <w:t>Conflict sensitivity &amp; Do No Harm dilemmas (Newsletter #1)</w:t>
      </w:r>
    </w:p>
    <w:p w14:paraId="0D30EC0B" w14:textId="77777777" w:rsidR="00CB5E3A" w:rsidRPr="00CB5E3A" w:rsidRDefault="00CB5E3A" w:rsidP="00C17720">
      <w:pPr>
        <w:numPr>
          <w:ilvl w:val="0"/>
          <w:numId w:val="22"/>
        </w:numPr>
        <w:spacing w:after="0"/>
        <w:rPr>
          <w:rFonts w:ascii="Aptos" w:hAnsi="Aptos"/>
        </w:rPr>
      </w:pPr>
      <w:r w:rsidRPr="00CB5E3A">
        <w:rPr>
          <w:rFonts w:ascii="Aptos" w:hAnsi="Aptos"/>
        </w:rPr>
        <w:t>Data gaps, missing indicators</w:t>
      </w:r>
    </w:p>
    <w:p w14:paraId="28DC1746" w14:textId="77777777" w:rsidR="00CB5E3A" w:rsidRPr="00CB5E3A" w:rsidRDefault="00CB5E3A" w:rsidP="00C17720">
      <w:pPr>
        <w:numPr>
          <w:ilvl w:val="0"/>
          <w:numId w:val="22"/>
        </w:numPr>
        <w:spacing w:after="0"/>
        <w:rPr>
          <w:rFonts w:ascii="Aptos" w:hAnsi="Aptos"/>
        </w:rPr>
      </w:pPr>
      <w:r w:rsidRPr="00CB5E3A">
        <w:rPr>
          <w:rFonts w:ascii="Aptos" w:hAnsi="Aptos"/>
        </w:rPr>
        <w:t>Tensions between immediate lifesaving vs anticipatory actions (Newsletter #1)</w:t>
      </w:r>
    </w:p>
    <w:p w14:paraId="1E759187" w14:textId="77777777" w:rsidR="00CB5E3A" w:rsidRPr="00CB5E3A" w:rsidRDefault="00CB5E3A" w:rsidP="00C17720">
      <w:pPr>
        <w:numPr>
          <w:ilvl w:val="0"/>
          <w:numId w:val="22"/>
        </w:numPr>
        <w:spacing w:after="0"/>
        <w:rPr>
          <w:rFonts w:ascii="Aptos" w:hAnsi="Aptos"/>
        </w:rPr>
      </w:pPr>
      <w:r w:rsidRPr="00CB5E3A">
        <w:rPr>
          <w:rFonts w:ascii="Aptos" w:hAnsi="Aptos"/>
        </w:rPr>
        <w:t>Fragmentation in tools and guidance (Newsletter #1 &amp; #2)</w:t>
      </w:r>
    </w:p>
    <w:p w14:paraId="1F5CAB42" w14:textId="77777777" w:rsidR="00CB5E3A" w:rsidRDefault="00CB5E3A" w:rsidP="00C17720">
      <w:pPr>
        <w:numPr>
          <w:ilvl w:val="0"/>
          <w:numId w:val="22"/>
        </w:numPr>
        <w:spacing w:after="0"/>
        <w:rPr>
          <w:rFonts w:ascii="Aptos" w:hAnsi="Aptos"/>
        </w:rPr>
      </w:pPr>
      <w:r w:rsidRPr="00CB5E3A">
        <w:rPr>
          <w:rFonts w:ascii="Aptos" w:hAnsi="Aptos"/>
        </w:rPr>
        <w:t>Need for harmonisation (Newsletter #2 Working Group)</w:t>
      </w:r>
    </w:p>
    <w:p w14:paraId="21EECBB9" w14:textId="10CDC5FD" w:rsidR="00373E76" w:rsidRPr="001331BD" w:rsidRDefault="001331BD" w:rsidP="2CFF8CCD">
      <w:pPr>
        <w:spacing w:after="0"/>
        <w:rPr>
          <w:rFonts w:ascii="Aptos" w:hAnsi="Aptos"/>
          <w:b/>
          <w:bCs/>
          <w:sz w:val="24"/>
          <w:szCs w:val="24"/>
        </w:rPr>
      </w:pPr>
      <w:r w:rsidRPr="2CFF8CCD">
        <w:rPr>
          <w:rFonts w:ascii="Aptos" w:hAnsi="Aptos"/>
          <w:b/>
          <w:bCs/>
          <w:sz w:val="24"/>
          <w:szCs w:val="24"/>
        </w:rPr>
        <w:t>6</w:t>
      </w:r>
      <w:r w:rsidR="00373E76" w:rsidRPr="2CFF8CCD">
        <w:rPr>
          <w:rFonts w:ascii="Aptos" w:hAnsi="Aptos"/>
          <w:b/>
          <w:bCs/>
          <w:sz w:val="24"/>
          <w:szCs w:val="24"/>
        </w:rPr>
        <w:t xml:space="preserve">. Priorities for 2026 </w:t>
      </w:r>
    </w:p>
    <w:p w14:paraId="5FAA99B1" w14:textId="77777777" w:rsidR="00373E76" w:rsidRPr="00373E76" w:rsidRDefault="00373E76" w:rsidP="00373E76">
      <w:pPr>
        <w:spacing w:after="0"/>
        <w:rPr>
          <w:rFonts w:ascii="Aptos" w:hAnsi="Aptos"/>
          <w:b/>
        </w:rPr>
      </w:pPr>
      <w:r w:rsidRPr="00373E76">
        <w:rPr>
          <w:rFonts w:ascii="Aptos" w:hAnsi="Aptos"/>
          <w:b/>
        </w:rPr>
        <w:t>Technical</w:t>
      </w:r>
    </w:p>
    <w:p w14:paraId="2ED6FE48" w14:textId="77777777" w:rsidR="00373E76" w:rsidRPr="00373E76" w:rsidRDefault="00373E76" w:rsidP="00C17720">
      <w:pPr>
        <w:numPr>
          <w:ilvl w:val="0"/>
          <w:numId w:val="23"/>
        </w:numPr>
        <w:spacing w:after="0"/>
        <w:rPr>
          <w:rFonts w:ascii="Aptos" w:hAnsi="Aptos"/>
        </w:rPr>
      </w:pPr>
      <w:r w:rsidRPr="00373E76">
        <w:rPr>
          <w:rFonts w:ascii="Aptos" w:hAnsi="Aptos"/>
        </w:rPr>
        <w:t>ICA → trigger refinement</w:t>
      </w:r>
    </w:p>
    <w:p w14:paraId="08E5E7FA" w14:textId="77777777" w:rsidR="00373E76" w:rsidRPr="00373E76" w:rsidRDefault="00373E76" w:rsidP="00C17720">
      <w:pPr>
        <w:numPr>
          <w:ilvl w:val="0"/>
          <w:numId w:val="23"/>
        </w:numPr>
        <w:spacing w:after="0"/>
        <w:rPr>
          <w:rFonts w:ascii="Aptos" w:hAnsi="Aptos"/>
        </w:rPr>
      </w:pPr>
      <w:r w:rsidRPr="00373E76">
        <w:rPr>
          <w:rFonts w:ascii="Aptos" w:hAnsi="Aptos"/>
        </w:rPr>
        <w:t>Expand forecasts &amp; harmonise indicators</w:t>
      </w:r>
    </w:p>
    <w:p w14:paraId="770110CC" w14:textId="77777777" w:rsidR="00373E76" w:rsidRPr="00373E76" w:rsidRDefault="00373E76" w:rsidP="00C17720">
      <w:pPr>
        <w:numPr>
          <w:ilvl w:val="0"/>
          <w:numId w:val="23"/>
        </w:numPr>
        <w:spacing w:after="0"/>
        <w:rPr>
          <w:rFonts w:ascii="Aptos" w:hAnsi="Aptos"/>
        </w:rPr>
      </w:pPr>
      <w:r w:rsidRPr="00373E76">
        <w:rPr>
          <w:rFonts w:ascii="Aptos" w:hAnsi="Aptos"/>
        </w:rPr>
        <w:t>Strengthen diaspora &amp; protection indicators</w:t>
      </w:r>
    </w:p>
    <w:p w14:paraId="7EEE5E0A" w14:textId="77777777" w:rsidR="00373E76" w:rsidRPr="00373E76" w:rsidRDefault="00373E76" w:rsidP="00373E76">
      <w:pPr>
        <w:spacing w:after="0"/>
        <w:rPr>
          <w:rFonts w:ascii="Aptos" w:hAnsi="Aptos"/>
          <w:b/>
        </w:rPr>
      </w:pPr>
      <w:r w:rsidRPr="00373E76">
        <w:rPr>
          <w:rFonts w:ascii="Aptos" w:hAnsi="Aptos"/>
          <w:b/>
        </w:rPr>
        <w:t>Operational</w:t>
      </w:r>
    </w:p>
    <w:p w14:paraId="199A9042" w14:textId="77777777" w:rsidR="00373E76" w:rsidRPr="00373E76" w:rsidRDefault="00373E76" w:rsidP="00C17720">
      <w:pPr>
        <w:numPr>
          <w:ilvl w:val="0"/>
          <w:numId w:val="24"/>
        </w:numPr>
        <w:spacing w:after="0"/>
        <w:rPr>
          <w:rFonts w:ascii="Aptos" w:hAnsi="Aptos"/>
        </w:rPr>
      </w:pPr>
      <w:r w:rsidRPr="00373E76">
        <w:rPr>
          <w:rFonts w:ascii="Aptos" w:hAnsi="Aptos"/>
        </w:rPr>
        <w:t>Anticipatory pilots in more AHEAD countries</w:t>
      </w:r>
    </w:p>
    <w:p w14:paraId="599CF9BC" w14:textId="77777777" w:rsidR="00373E76" w:rsidRPr="00373E76" w:rsidRDefault="00373E76" w:rsidP="00C17720">
      <w:pPr>
        <w:numPr>
          <w:ilvl w:val="0"/>
          <w:numId w:val="24"/>
        </w:numPr>
        <w:spacing w:after="0"/>
        <w:rPr>
          <w:rFonts w:ascii="Aptos" w:hAnsi="Aptos"/>
        </w:rPr>
      </w:pPr>
      <w:r w:rsidRPr="00373E76">
        <w:rPr>
          <w:rFonts w:ascii="Aptos" w:hAnsi="Aptos"/>
        </w:rPr>
        <w:t>Scale pre-positioning + community EWS models</w:t>
      </w:r>
    </w:p>
    <w:p w14:paraId="76257F41" w14:textId="77777777" w:rsidR="00373E76" w:rsidRPr="00373E76" w:rsidRDefault="00373E76" w:rsidP="00C17720">
      <w:pPr>
        <w:numPr>
          <w:ilvl w:val="0"/>
          <w:numId w:val="24"/>
        </w:numPr>
        <w:spacing w:after="0"/>
        <w:rPr>
          <w:rFonts w:ascii="Aptos" w:hAnsi="Aptos"/>
        </w:rPr>
      </w:pPr>
      <w:r w:rsidRPr="00373E76">
        <w:rPr>
          <w:rFonts w:ascii="Aptos" w:hAnsi="Aptos"/>
        </w:rPr>
        <w:t>Strengthen peace &amp; resilience linkages</w:t>
      </w:r>
    </w:p>
    <w:p w14:paraId="178FD847" w14:textId="77777777" w:rsidR="00373E76" w:rsidRPr="00373E76" w:rsidRDefault="00373E76" w:rsidP="00373E76">
      <w:pPr>
        <w:spacing w:after="0"/>
        <w:rPr>
          <w:rFonts w:ascii="Aptos" w:hAnsi="Aptos"/>
          <w:b/>
        </w:rPr>
      </w:pPr>
      <w:r w:rsidRPr="00373E76">
        <w:rPr>
          <w:rFonts w:ascii="Aptos" w:hAnsi="Aptos"/>
          <w:b/>
        </w:rPr>
        <w:t>Advocacy</w:t>
      </w:r>
    </w:p>
    <w:p w14:paraId="0468D26B" w14:textId="77777777" w:rsidR="00373E76" w:rsidRPr="00373E76" w:rsidRDefault="00373E76" w:rsidP="00C17720">
      <w:pPr>
        <w:numPr>
          <w:ilvl w:val="0"/>
          <w:numId w:val="25"/>
        </w:numPr>
        <w:spacing w:after="0"/>
        <w:rPr>
          <w:rFonts w:ascii="Aptos" w:hAnsi="Aptos"/>
        </w:rPr>
      </w:pPr>
      <w:r w:rsidRPr="00373E76">
        <w:rPr>
          <w:rFonts w:ascii="Aptos" w:hAnsi="Aptos"/>
        </w:rPr>
        <w:t>Push AA into pooled funds &amp; UN80 structures</w:t>
      </w:r>
    </w:p>
    <w:p w14:paraId="445D164E" w14:textId="77777777" w:rsidR="00373E76" w:rsidRPr="00373E76" w:rsidRDefault="00373E76" w:rsidP="00C17720">
      <w:pPr>
        <w:numPr>
          <w:ilvl w:val="0"/>
          <w:numId w:val="25"/>
        </w:numPr>
        <w:spacing w:after="0"/>
        <w:rPr>
          <w:rFonts w:ascii="Aptos" w:hAnsi="Aptos"/>
        </w:rPr>
      </w:pPr>
      <w:r w:rsidRPr="00373E76">
        <w:rPr>
          <w:rFonts w:ascii="Aptos" w:hAnsi="Aptos"/>
        </w:rPr>
        <w:lastRenderedPageBreak/>
        <w:t>Continue shaping humanitarian reset narrative</w:t>
      </w:r>
    </w:p>
    <w:p w14:paraId="422D9A75" w14:textId="77777777" w:rsidR="00373E76" w:rsidRPr="00373E76" w:rsidRDefault="00373E76" w:rsidP="00C17720">
      <w:pPr>
        <w:numPr>
          <w:ilvl w:val="0"/>
          <w:numId w:val="25"/>
        </w:numPr>
        <w:spacing w:after="0"/>
        <w:rPr>
          <w:rFonts w:ascii="Aptos" w:hAnsi="Aptos"/>
        </w:rPr>
      </w:pPr>
      <w:r w:rsidRPr="00373E76">
        <w:rPr>
          <w:rFonts w:ascii="Aptos" w:hAnsi="Aptos"/>
        </w:rPr>
        <w:t>Solidify AA in DRC’s Solutions Platform influence work</w:t>
      </w:r>
    </w:p>
    <w:p w14:paraId="6A8B5876" w14:textId="77777777" w:rsidR="00373E76" w:rsidRPr="00373E76" w:rsidRDefault="00373E76" w:rsidP="00373E76">
      <w:pPr>
        <w:spacing w:after="0"/>
        <w:rPr>
          <w:rFonts w:ascii="Aptos" w:hAnsi="Aptos"/>
          <w:b/>
        </w:rPr>
      </w:pPr>
      <w:r w:rsidRPr="00373E76">
        <w:rPr>
          <w:rFonts w:ascii="Aptos" w:hAnsi="Aptos"/>
          <w:b/>
        </w:rPr>
        <w:t>Global engagements</w:t>
      </w:r>
    </w:p>
    <w:p w14:paraId="7ECD9E86" w14:textId="03317C33" w:rsidR="00373E76" w:rsidRPr="00373E76" w:rsidRDefault="00373E76" w:rsidP="00C17720">
      <w:pPr>
        <w:numPr>
          <w:ilvl w:val="0"/>
          <w:numId w:val="26"/>
        </w:numPr>
        <w:spacing w:after="0"/>
        <w:rPr>
          <w:rFonts w:ascii="Aptos" w:hAnsi="Aptos"/>
        </w:rPr>
      </w:pPr>
      <w:r w:rsidRPr="00373E76">
        <w:rPr>
          <w:rFonts w:ascii="Aptos" w:hAnsi="Aptos"/>
        </w:rPr>
        <w:t>2026 GDP</w:t>
      </w:r>
      <w:r w:rsidR="00A2569D">
        <w:rPr>
          <w:rFonts w:ascii="Aptos" w:hAnsi="Aptos"/>
        </w:rPr>
        <w:t xml:space="preserve"> + Regional Dialogue Platforms</w:t>
      </w:r>
    </w:p>
    <w:p w14:paraId="31477DF5" w14:textId="77777777" w:rsidR="00373E76" w:rsidRPr="00373E76" w:rsidRDefault="00373E76" w:rsidP="00C17720">
      <w:pPr>
        <w:numPr>
          <w:ilvl w:val="0"/>
          <w:numId w:val="26"/>
        </w:numPr>
        <w:spacing w:after="0"/>
        <w:rPr>
          <w:rFonts w:ascii="Aptos" w:hAnsi="Aptos"/>
        </w:rPr>
      </w:pPr>
      <w:r w:rsidRPr="00373E76">
        <w:rPr>
          <w:rFonts w:ascii="Aptos" w:hAnsi="Aptos"/>
        </w:rPr>
        <w:t>2026 HNPW</w:t>
      </w:r>
    </w:p>
    <w:p w14:paraId="52A8ED00" w14:textId="07BC5B08" w:rsidR="00373E76" w:rsidRPr="00CB5E3A" w:rsidRDefault="00373E76" w:rsidP="00C17720">
      <w:pPr>
        <w:numPr>
          <w:ilvl w:val="0"/>
          <w:numId w:val="26"/>
        </w:numPr>
        <w:spacing w:after="0"/>
        <w:rPr>
          <w:rFonts w:ascii="Aptos" w:hAnsi="Aptos"/>
        </w:rPr>
      </w:pPr>
      <w:r w:rsidRPr="00373E76">
        <w:rPr>
          <w:rFonts w:ascii="Aptos" w:hAnsi="Aptos"/>
        </w:rPr>
        <w:t xml:space="preserve">WB Spring Meetings </w:t>
      </w:r>
    </w:p>
    <w:p w14:paraId="51776820" w14:textId="77777777" w:rsidR="00C4076C" w:rsidRPr="00CB5E3A" w:rsidRDefault="00C4076C" w:rsidP="00CB5E3A">
      <w:pPr>
        <w:spacing w:after="0"/>
        <w:rPr>
          <w:rFonts w:ascii="Aptos" w:hAnsi="Aptos"/>
        </w:rPr>
      </w:pPr>
    </w:p>
    <w:sectPr w:rsidR="00C4076C" w:rsidRPr="00CB5E3A"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1F14" w14:textId="77777777" w:rsidR="000E2F9A" w:rsidRDefault="000E2F9A" w:rsidP="001B3630">
      <w:pPr>
        <w:spacing w:after="0" w:line="240" w:lineRule="auto"/>
      </w:pPr>
      <w:r>
        <w:separator/>
      </w:r>
    </w:p>
  </w:endnote>
  <w:endnote w:type="continuationSeparator" w:id="0">
    <w:p w14:paraId="64B81F26" w14:textId="77777777" w:rsidR="000E2F9A" w:rsidRDefault="000E2F9A" w:rsidP="001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1617" w14:textId="77777777" w:rsidR="000E2F9A" w:rsidRDefault="000E2F9A" w:rsidP="001B3630">
      <w:pPr>
        <w:spacing w:after="0" w:line="240" w:lineRule="auto"/>
      </w:pPr>
      <w:r>
        <w:separator/>
      </w:r>
    </w:p>
  </w:footnote>
  <w:footnote w:type="continuationSeparator" w:id="0">
    <w:p w14:paraId="4F595E7E" w14:textId="77777777" w:rsidR="000E2F9A" w:rsidRDefault="000E2F9A" w:rsidP="001B36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172435"/>
    <w:multiLevelType w:val="multilevel"/>
    <w:tmpl w:val="8AD0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F55213"/>
    <w:multiLevelType w:val="multilevel"/>
    <w:tmpl w:val="B966F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012757"/>
    <w:multiLevelType w:val="multilevel"/>
    <w:tmpl w:val="E420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0D55E2"/>
    <w:multiLevelType w:val="multilevel"/>
    <w:tmpl w:val="F79E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380310"/>
    <w:multiLevelType w:val="multilevel"/>
    <w:tmpl w:val="3550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CF023C"/>
    <w:multiLevelType w:val="multilevel"/>
    <w:tmpl w:val="BE46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5B7E2C"/>
    <w:multiLevelType w:val="multilevel"/>
    <w:tmpl w:val="3FA0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385916"/>
    <w:multiLevelType w:val="multilevel"/>
    <w:tmpl w:val="5D6E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26353"/>
    <w:multiLevelType w:val="multilevel"/>
    <w:tmpl w:val="7242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44100F"/>
    <w:multiLevelType w:val="multilevel"/>
    <w:tmpl w:val="6032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9131C6"/>
    <w:multiLevelType w:val="hybridMultilevel"/>
    <w:tmpl w:val="560EB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5C6302"/>
    <w:multiLevelType w:val="multilevel"/>
    <w:tmpl w:val="12AE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0F7226"/>
    <w:multiLevelType w:val="multilevel"/>
    <w:tmpl w:val="D10C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F36FC"/>
    <w:multiLevelType w:val="multilevel"/>
    <w:tmpl w:val="32C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21123F"/>
    <w:multiLevelType w:val="multilevel"/>
    <w:tmpl w:val="49B2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E2934"/>
    <w:multiLevelType w:val="multilevel"/>
    <w:tmpl w:val="F388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D65DD9"/>
    <w:multiLevelType w:val="multilevel"/>
    <w:tmpl w:val="D9504E0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8D298F"/>
    <w:multiLevelType w:val="multilevel"/>
    <w:tmpl w:val="F4EC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681421"/>
    <w:multiLevelType w:val="multilevel"/>
    <w:tmpl w:val="E514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F09A9"/>
    <w:multiLevelType w:val="multilevel"/>
    <w:tmpl w:val="76A4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7384720">
    <w:abstractNumId w:val="5"/>
  </w:num>
  <w:num w:numId="2" w16cid:durableId="662975934">
    <w:abstractNumId w:val="3"/>
  </w:num>
  <w:num w:numId="3" w16cid:durableId="497892962">
    <w:abstractNumId w:val="2"/>
  </w:num>
  <w:num w:numId="4" w16cid:durableId="1338187789">
    <w:abstractNumId w:val="4"/>
  </w:num>
  <w:num w:numId="5" w16cid:durableId="1955214119">
    <w:abstractNumId w:val="1"/>
  </w:num>
  <w:num w:numId="6" w16cid:durableId="1688142672">
    <w:abstractNumId w:val="0"/>
  </w:num>
  <w:num w:numId="7" w16cid:durableId="1313094664">
    <w:abstractNumId w:val="10"/>
  </w:num>
  <w:num w:numId="8" w16cid:durableId="798694326">
    <w:abstractNumId w:val="20"/>
  </w:num>
  <w:num w:numId="9" w16cid:durableId="606274719">
    <w:abstractNumId w:val="24"/>
  </w:num>
  <w:num w:numId="10" w16cid:durableId="580599651">
    <w:abstractNumId w:val="7"/>
  </w:num>
  <w:num w:numId="11" w16cid:durableId="687751396">
    <w:abstractNumId w:val="23"/>
  </w:num>
  <w:num w:numId="12" w16cid:durableId="1399552609">
    <w:abstractNumId w:val="16"/>
  </w:num>
  <w:num w:numId="13" w16cid:durableId="1624532496">
    <w:abstractNumId w:val="13"/>
  </w:num>
  <w:num w:numId="14" w16cid:durableId="1088426763">
    <w:abstractNumId w:val="12"/>
  </w:num>
  <w:num w:numId="15" w16cid:durableId="1302883323">
    <w:abstractNumId w:val="21"/>
  </w:num>
  <w:num w:numId="16" w16cid:durableId="1896039979">
    <w:abstractNumId w:val="14"/>
  </w:num>
  <w:num w:numId="17" w16cid:durableId="1430929050">
    <w:abstractNumId w:val="19"/>
  </w:num>
  <w:num w:numId="18" w16cid:durableId="1697384591">
    <w:abstractNumId w:val="22"/>
  </w:num>
  <w:num w:numId="19" w16cid:durableId="1441951458">
    <w:abstractNumId w:val="17"/>
  </w:num>
  <w:num w:numId="20" w16cid:durableId="910653839">
    <w:abstractNumId w:val="6"/>
  </w:num>
  <w:num w:numId="21" w16cid:durableId="661815085">
    <w:abstractNumId w:val="18"/>
  </w:num>
  <w:num w:numId="22" w16cid:durableId="2124032503">
    <w:abstractNumId w:val="15"/>
  </w:num>
  <w:num w:numId="23" w16cid:durableId="372997835">
    <w:abstractNumId w:val="11"/>
  </w:num>
  <w:num w:numId="24" w16cid:durableId="615986332">
    <w:abstractNumId w:val="25"/>
  </w:num>
  <w:num w:numId="25" w16cid:durableId="1027416059">
    <w:abstractNumId w:val="8"/>
  </w:num>
  <w:num w:numId="26" w16cid:durableId="67996631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3C3B"/>
    <w:rsid w:val="00034616"/>
    <w:rsid w:val="0006063C"/>
    <w:rsid w:val="000814EE"/>
    <w:rsid w:val="000E2F9A"/>
    <w:rsid w:val="000E4D3C"/>
    <w:rsid w:val="000F14F3"/>
    <w:rsid w:val="000F1A3C"/>
    <w:rsid w:val="00105750"/>
    <w:rsid w:val="00111F8C"/>
    <w:rsid w:val="001160E2"/>
    <w:rsid w:val="001331BD"/>
    <w:rsid w:val="0015074B"/>
    <w:rsid w:val="001823B6"/>
    <w:rsid w:val="001869EC"/>
    <w:rsid w:val="00190AA5"/>
    <w:rsid w:val="00194791"/>
    <w:rsid w:val="0019776F"/>
    <w:rsid w:val="001A3F1C"/>
    <w:rsid w:val="001B3630"/>
    <w:rsid w:val="001C7C7A"/>
    <w:rsid w:val="001D5CBB"/>
    <w:rsid w:val="001E6AED"/>
    <w:rsid w:val="0020654F"/>
    <w:rsid w:val="002502EE"/>
    <w:rsid w:val="00252A3D"/>
    <w:rsid w:val="0029639D"/>
    <w:rsid w:val="002E110A"/>
    <w:rsid w:val="00312BB8"/>
    <w:rsid w:val="00326F90"/>
    <w:rsid w:val="00373E76"/>
    <w:rsid w:val="003757F3"/>
    <w:rsid w:val="003B6AB4"/>
    <w:rsid w:val="003D7AE2"/>
    <w:rsid w:val="003E1665"/>
    <w:rsid w:val="003E46D7"/>
    <w:rsid w:val="003F3DB5"/>
    <w:rsid w:val="00434F9D"/>
    <w:rsid w:val="00442AAE"/>
    <w:rsid w:val="00444E50"/>
    <w:rsid w:val="004525FA"/>
    <w:rsid w:val="00465ABF"/>
    <w:rsid w:val="004A2020"/>
    <w:rsid w:val="004B596C"/>
    <w:rsid w:val="004D0246"/>
    <w:rsid w:val="004E0583"/>
    <w:rsid w:val="004E0D57"/>
    <w:rsid w:val="004E61AC"/>
    <w:rsid w:val="004F3BBB"/>
    <w:rsid w:val="00577526"/>
    <w:rsid w:val="005A40ED"/>
    <w:rsid w:val="005A5BF8"/>
    <w:rsid w:val="005E04EF"/>
    <w:rsid w:val="005E4E03"/>
    <w:rsid w:val="005E6C55"/>
    <w:rsid w:val="006332CF"/>
    <w:rsid w:val="00637D5D"/>
    <w:rsid w:val="006465AD"/>
    <w:rsid w:val="00683A3F"/>
    <w:rsid w:val="006A7375"/>
    <w:rsid w:val="006F272E"/>
    <w:rsid w:val="006F5747"/>
    <w:rsid w:val="007067AA"/>
    <w:rsid w:val="0071152F"/>
    <w:rsid w:val="00723F0B"/>
    <w:rsid w:val="00734927"/>
    <w:rsid w:val="00757A2F"/>
    <w:rsid w:val="0077666B"/>
    <w:rsid w:val="00790D0D"/>
    <w:rsid w:val="007A574E"/>
    <w:rsid w:val="008022B3"/>
    <w:rsid w:val="0081676B"/>
    <w:rsid w:val="00861938"/>
    <w:rsid w:val="0087225C"/>
    <w:rsid w:val="008A558C"/>
    <w:rsid w:val="008C01DE"/>
    <w:rsid w:val="008C531E"/>
    <w:rsid w:val="008C6567"/>
    <w:rsid w:val="008E595E"/>
    <w:rsid w:val="00907B43"/>
    <w:rsid w:val="00944DA4"/>
    <w:rsid w:val="0095217D"/>
    <w:rsid w:val="00975557"/>
    <w:rsid w:val="009B2E8E"/>
    <w:rsid w:val="009F6B34"/>
    <w:rsid w:val="00A20621"/>
    <w:rsid w:val="00A2569D"/>
    <w:rsid w:val="00A3295C"/>
    <w:rsid w:val="00A3464B"/>
    <w:rsid w:val="00A70CFD"/>
    <w:rsid w:val="00AA1D8D"/>
    <w:rsid w:val="00AC3757"/>
    <w:rsid w:val="00AE4C5D"/>
    <w:rsid w:val="00B11A8D"/>
    <w:rsid w:val="00B211F5"/>
    <w:rsid w:val="00B271A3"/>
    <w:rsid w:val="00B35F3D"/>
    <w:rsid w:val="00B47730"/>
    <w:rsid w:val="00B5300A"/>
    <w:rsid w:val="00B5635F"/>
    <w:rsid w:val="00B8121B"/>
    <w:rsid w:val="00B92204"/>
    <w:rsid w:val="00BB6B18"/>
    <w:rsid w:val="00C05264"/>
    <w:rsid w:val="00C166DA"/>
    <w:rsid w:val="00C17720"/>
    <w:rsid w:val="00C25767"/>
    <w:rsid w:val="00C404E3"/>
    <w:rsid w:val="00C4076C"/>
    <w:rsid w:val="00C6726A"/>
    <w:rsid w:val="00CB0664"/>
    <w:rsid w:val="00CB5E3A"/>
    <w:rsid w:val="00D03EA4"/>
    <w:rsid w:val="00D24146"/>
    <w:rsid w:val="00D64D40"/>
    <w:rsid w:val="00D77CBB"/>
    <w:rsid w:val="00D97846"/>
    <w:rsid w:val="00DA0575"/>
    <w:rsid w:val="00DC29E1"/>
    <w:rsid w:val="00DF33FB"/>
    <w:rsid w:val="00E07810"/>
    <w:rsid w:val="00E25058"/>
    <w:rsid w:val="00E44187"/>
    <w:rsid w:val="00E51CAE"/>
    <w:rsid w:val="00E67BF7"/>
    <w:rsid w:val="00E94088"/>
    <w:rsid w:val="00E94444"/>
    <w:rsid w:val="00E95D68"/>
    <w:rsid w:val="00EC2998"/>
    <w:rsid w:val="00EC7D9D"/>
    <w:rsid w:val="00ED39F5"/>
    <w:rsid w:val="00EF55AB"/>
    <w:rsid w:val="00F56909"/>
    <w:rsid w:val="00F621FF"/>
    <w:rsid w:val="00FA3F7C"/>
    <w:rsid w:val="00FA52DB"/>
    <w:rsid w:val="00FC693F"/>
    <w:rsid w:val="00FE6856"/>
    <w:rsid w:val="2CFF8CCD"/>
    <w:rsid w:val="49874DDE"/>
    <w:rsid w:val="5D744151"/>
    <w:rsid w:val="6F72BC85"/>
    <w:rsid w:val="71F8F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F31B88"/>
  <w14:defaultImageDpi w14:val="300"/>
  <w15:docId w15:val="{17164658-9E20-4ACE-8E68-CE4B16F2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4E61A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A20621"/>
    <w:rPr>
      <w:sz w:val="16"/>
      <w:szCs w:val="16"/>
    </w:rPr>
  </w:style>
  <w:style w:type="paragraph" w:styleId="CommentText">
    <w:name w:val="annotation text"/>
    <w:basedOn w:val="Normal"/>
    <w:link w:val="CommentTextChar"/>
    <w:uiPriority w:val="99"/>
    <w:unhideWhenUsed/>
    <w:rsid w:val="00A20621"/>
    <w:pPr>
      <w:spacing w:line="240" w:lineRule="auto"/>
    </w:pPr>
    <w:rPr>
      <w:sz w:val="20"/>
      <w:szCs w:val="20"/>
    </w:rPr>
  </w:style>
  <w:style w:type="character" w:customStyle="1" w:styleId="CommentTextChar">
    <w:name w:val="Comment Text Char"/>
    <w:basedOn w:val="DefaultParagraphFont"/>
    <w:link w:val="CommentText"/>
    <w:uiPriority w:val="99"/>
    <w:rsid w:val="00A20621"/>
    <w:rPr>
      <w:sz w:val="20"/>
      <w:szCs w:val="20"/>
    </w:rPr>
  </w:style>
  <w:style w:type="paragraph" w:styleId="CommentSubject">
    <w:name w:val="annotation subject"/>
    <w:basedOn w:val="CommentText"/>
    <w:next w:val="CommentText"/>
    <w:link w:val="CommentSubjectChar"/>
    <w:uiPriority w:val="99"/>
    <w:semiHidden/>
    <w:unhideWhenUsed/>
    <w:rsid w:val="00A20621"/>
    <w:rPr>
      <w:b/>
      <w:bCs/>
    </w:rPr>
  </w:style>
  <w:style w:type="character" w:customStyle="1" w:styleId="CommentSubjectChar">
    <w:name w:val="Comment Subject Char"/>
    <w:basedOn w:val="CommentTextChar"/>
    <w:link w:val="CommentSubject"/>
    <w:uiPriority w:val="99"/>
    <w:semiHidden/>
    <w:rsid w:val="00A20621"/>
    <w:rPr>
      <w:b/>
      <w:bCs/>
      <w:sz w:val="20"/>
      <w:szCs w:val="20"/>
    </w:rPr>
  </w:style>
  <w:style w:type="character" w:styleId="Mention">
    <w:name w:val="Mention"/>
    <w:basedOn w:val="DefaultParagraphFont"/>
    <w:uiPriority w:val="99"/>
    <w:unhideWhenUsed/>
    <w:rsid w:val="00EC29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1174</Words>
  <Characters>7420</Characters>
  <Application>Microsoft Office Word</Application>
  <DocSecurity>0</DocSecurity>
  <Lines>164</Lines>
  <Paragraphs>122</Paragraphs>
  <ScaleCrop>false</ScaleCrop>
  <Manager/>
  <Company/>
  <LinksUpToDate>false</LinksUpToDate>
  <CharactersWithSpaces>8472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soomar</dc:creator>
  <cp:keywords/>
  <dc:description/>
  <cp:lastModifiedBy>Zainab Soomar</cp:lastModifiedBy>
  <cp:revision>3</cp:revision>
  <dcterms:created xsi:type="dcterms:W3CDTF">2025-11-28T10:43:00Z</dcterms:created>
  <dcterms:modified xsi:type="dcterms:W3CDTF">2025-11-28T10:44:00Z</dcterms:modified>
  <cp:category/>
</cp:coreProperties>
</file>